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D1F3D9">
      <w:pPr>
        <w:snapToGrid w:val="0"/>
        <w:spacing w:line="600" w:lineRule="exact"/>
        <w:rPr>
          <w:rFonts w:ascii="仿宋_GB2312" w:eastAsia="仿宋_GB2312"/>
          <w:b/>
          <w:sz w:val="30"/>
          <w:szCs w:val="30"/>
        </w:rPr>
      </w:pPr>
    </w:p>
    <w:p w14:paraId="5E381DFB">
      <w:pPr>
        <w:snapToGrid w:val="0"/>
        <w:spacing w:line="600" w:lineRule="exact"/>
        <w:jc w:val="center"/>
        <w:rPr>
          <w:rFonts w:ascii="仿宋_GB2312" w:eastAsia="仿宋_GB2312"/>
          <w:b/>
          <w:sz w:val="30"/>
          <w:szCs w:val="30"/>
        </w:rPr>
      </w:pPr>
      <w:r>
        <w:rPr>
          <w:rFonts w:hint="eastAsia" w:ascii="仿宋_GB2312" w:eastAsia="仿宋_GB2312"/>
          <w:b/>
          <w:sz w:val="44"/>
          <w:szCs w:val="44"/>
        </w:rPr>
        <w:t>网络竞价须知</w:t>
      </w:r>
    </w:p>
    <w:p w14:paraId="0787C439">
      <w:pPr>
        <w:numPr>
          <w:ilvl w:val="0"/>
          <w:numId w:val="1"/>
        </w:numPr>
        <w:spacing w:line="600" w:lineRule="exact"/>
        <w:jc w:val="center"/>
        <w:rPr>
          <w:rFonts w:ascii="仿宋_GB2312" w:eastAsia="仿宋_GB2312"/>
          <w:b/>
          <w:sz w:val="32"/>
          <w:szCs w:val="32"/>
        </w:rPr>
      </w:pPr>
      <w:r>
        <w:rPr>
          <w:rFonts w:ascii="仿宋_GB2312" w:eastAsia="仿宋_GB2312"/>
          <w:b/>
          <w:sz w:val="32"/>
          <w:szCs w:val="32"/>
        </w:rPr>
        <w:t xml:space="preserve"> </w:t>
      </w:r>
      <w:r>
        <w:rPr>
          <w:rFonts w:hint="eastAsia" w:ascii="仿宋_GB2312" w:eastAsia="仿宋_GB2312"/>
          <w:b/>
          <w:sz w:val="32"/>
          <w:szCs w:val="32"/>
        </w:rPr>
        <w:t>竞价须知</w:t>
      </w:r>
    </w:p>
    <w:p w14:paraId="4F73B91F">
      <w:pPr>
        <w:adjustRightInd w:val="0"/>
        <w:snapToGrid w:val="0"/>
        <w:ind w:firstLine="482" w:firstLineChars="200"/>
        <w:rPr>
          <w:rFonts w:ascii="仿宋_GB2312" w:eastAsia="仿宋_GB2312"/>
          <w:b/>
          <w:bCs/>
          <w:color w:val="000000"/>
          <w:sz w:val="24"/>
        </w:rPr>
      </w:pPr>
    </w:p>
    <w:p w14:paraId="769AD949">
      <w:pPr>
        <w:adjustRightInd w:val="0"/>
        <w:snapToGrid w:val="0"/>
        <w:ind w:firstLine="482" w:firstLineChars="200"/>
        <w:rPr>
          <w:rFonts w:ascii="仿宋_GB2312" w:eastAsia="仿宋_GB2312"/>
          <w:color w:val="000000"/>
          <w:sz w:val="24"/>
        </w:rPr>
      </w:pPr>
      <w:r>
        <w:rPr>
          <w:rFonts w:hint="eastAsia" w:ascii="仿宋_GB2312" w:eastAsia="仿宋_GB2312"/>
          <w:b/>
          <w:bCs/>
          <w:color w:val="000000"/>
          <w:sz w:val="24"/>
        </w:rPr>
        <w:t>一、竞价标的：</w:t>
      </w:r>
      <w:r>
        <w:rPr>
          <w:rFonts w:hint="eastAsia" w:ascii="仿宋_GB2312" w:eastAsia="仿宋_GB2312"/>
          <w:color w:val="000000"/>
          <w:sz w:val="24"/>
        </w:rPr>
        <w:t>受绍兴市历史文化名城保护服务中心委托，本公司对位于绍兴市越城区仓桥直街194号房产三年期租赁权进行公开竞价（具体标的详见竞价清单）。</w:t>
      </w:r>
    </w:p>
    <w:p w14:paraId="506D2DC2">
      <w:pPr>
        <w:adjustRightInd w:val="0"/>
        <w:snapToGrid w:val="0"/>
        <w:ind w:firstLine="480" w:firstLineChars="200"/>
        <w:rPr>
          <w:rFonts w:ascii="仿宋_GB2312" w:eastAsia="仿宋_GB2312"/>
          <w:color w:val="000000"/>
          <w:sz w:val="24"/>
        </w:rPr>
      </w:pPr>
      <w:r>
        <w:rPr>
          <w:rFonts w:ascii="仿宋_GB2312" w:eastAsia="仿宋_GB2312"/>
          <w:color w:val="000000"/>
          <w:sz w:val="24"/>
        </w:rPr>
        <w:t>1</w:t>
      </w:r>
      <w:r>
        <w:rPr>
          <w:rFonts w:hint="eastAsia" w:ascii="仿宋_GB2312" w:eastAsia="仿宋_GB2312"/>
          <w:color w:val="000000"/>
          <w:sz w:val="24"/>
        </w:rPr>
        <w:t>、竞价人务必于公告期间向委托人了解各标的资产状况、房屋设计用途、房屋出租范围（面积构成）及产权信息等，并在标的展示期间经过现场勘查核实确认后再参与竞价。本次竞价清单中相关面积数据来源于委托人，非法定数据，仅供参考。竞价人不得以此作为交付依据，竞价人参与竞价的，务必在委托人的组织下实地看样、进场核实，标的物实际使用面积大小及出租范围应以公告展示期间实地看样为准，未看样的竞价人视为对本标的实物现状的确认，竞价成交后不得再以面积差异、出租范围等问题提出质疑。其他涉及租赁双方有关的标的注意事项及《房屋租赁合同》相关内容，请竞价人自行向委托人了解充分后再行竞价。</w:t>
      </w:r>
    </w:p>
    <w:p w14:paraId="35BD370C">
      <w:pPr>
        <w:adjustRightInd w:val="0"/>
        <w:snapToGrid w:val="0"/>
        <w:ind w:firstLine="480" w:firstLineChars="200"/>
        <w:rPr>
          <w:rFonts w:ascii="仿宋_GB2312" w:eastAsia="仿宋_GB2312"/>
          <w:color w:val="000000"/>
          <w:sz w:val="24"/>
        </w:rPr>
      </w:pPr>
      <w:r>
        <w:rPr>
          <w:rFonts w:ascii="仿宋_GB2312" w:eastAsia="仿宋_GB2312"/>
          <w:color w:val="000000"/>
          <w:sz w:val="24"/>
        </w:rPr>
        <w:t>2</w:t>
      </w:r>
      <w:r>
        <w:rPr>
          <w:rFonts w:hint="eastAsia" w:ascii="仿宋_GB2312" w:eastAsia="仿宋_GB2312"/>
          <w:color w:val="000000"/>
          <w:sz w:val="24"/>
        </w:rPr>
        <w:t>、本次竞价的标的交付时不包括原装修及房屋内可移动的设施和设备。</w:t>
      </w:r>
    </w:p>
    <w:p w14:paraId="2AC51030">
      <w:pPr>
        <w:adjustRightInd w:val="0"/>
        <w:snapToGrid w:val="0"/>
        <w:ind w:firstLine="480" w:firstLineChars="200"/>
        <w:rPr>
          <w:rFonts w:ascii="仿宋_GB2312" w:eastAsia="仿宋_GB2312"/>
          <w:color w:val="000000"/>
          <w:sz w:val="24"/>
        </w:rPr>
      </w:pPr>
      <w:r>
        <w:rPr>
          <w:rFonts w:ascii="仿宋_GB2312" w:eastAsia="仿宋_GB2312"/>
          <w:color w:val="000000"/>
          <w:sz w:val="24"/>
        </w:rPr>
        <w:t>3</w:t>
      </w:r>
      <w:r>
        <w:rPr>
          <w:rFonts w:hint="eastAsia" w:ascii="仿宋_GB2312" w:eastAsia="仿宋_GB2312"/>
          <w:color w:val="000000"/>
          <w:sz w:val="24"/>
        </w:rPr>
        <w:t>、本次竞价的资产在竞价前，已出具了评估报告书，评估报告是委托人确定起租价的参考依据，并不作为最终确定成交价的构成依据。由于资产评估报告系评估机构在特定假设和限制条件下作出的，与资产现值及实际状况可能存在一定差异，使用时存在局限性，具体资产状况须结合实际以移交时标的物的实物现状为准。竞价成交后，买受人不得因资产评估报告中的描述与竞价标的按实际现状移交时存在各种面积问题、地理位置等及资产价值差异向委托人及代理机构提出异议或赔偿请求。竞价人可在线下现场实地展示期间向委托人申请查询相关权证资料及评估报告信息。</w:t>
      </w:r>
    </w:p>
    <w:p w14:paraId="0BC0AEB7">
      <w:pPr>
        <w:adjustRightInd w:val="0"/>
        <w:snapToGrid w:val="0"/>
        <w:ind w:firstLine="482" w:firstLineChars="200"/>
        <w:rPr>
          <w:rFonts w:ascii="仿宋_GB2312" w:eastAsia="仿宋_GB2312"/>
          <w:color w:val="000000"/>
          <w:sz w:val="24"/>
        </w:rPr>
      </w:pPr>
      <w:r>
        <w:rPr>
          <w:rFonts w:hint="eastAsia" w:ascii="仿宋_GB2312" w:eastAsia="仿宋_GB2312"/>
          <w:b/>
          <w:bCs/>
          <w:color w:val="000000"/>
          <w:sz w:val="24"/>
        </w:rPr>
        <w:t>二、竞价人是指</w:t>
      </w:r>
      <w:bookmarkStart w:id="0" w:name="OLE_LINK4"/>
      <w:r>
        <w:rPr>
          <w:rFonts w:hint="eastAsia" w:ascii="仿宋_GB2312" w:eastAsia="仿宋_GB2312"/>
          <w:b/>
          <w:bCs/>
          <w:color w:val="000000"/>
          <w:sz w:val="24"/>
        </w:rPr>
        <w:t>具有完全民事行为能力的自然人、企业法人或其他组织</w:t>
      </w:r>
      <w:bookmarkEnd w:id="0"/>
      <w:r>
        <w:rPr>
          <w:rFonts w:hint="eastAsia" w:ascii="仿宋_GB2312" w:eastAsia="仿宋_GB2312"/>
          <w:b/>
          <w:bCs/>
          <w:color w:val="000000"/>
          <w:sz w:val="24"/>
        </w:rPr>
        <w:t>，并按竞价公告的要求在线上报名及支付相应竞价保证金后具有竞价资格的人。不符合条件或提供虚假资料参加竞价的，由竞价人自行承担全部的经济法律责任</w:t>
      </w:r>
      <w:r>
        <w:rPr>
          <w:rFonts w:hint="eastAsia" w:ascii="仿宋_GB2312" w:eastAsia="仿宋_GB2312"/>
          <w:color w:val="000000"/>
          <w:sz w:val="24"/>
        </w:rPr>
        <w:t>。</w:t>
      </w:r>
    </w:p>
    <w:p w14:paraId="51B1F2C6">
      <w:pPr>
        <w:adjustRightInd w:val="0"/>
        <w:snapToGrid w:val="0"/>
        <w:ind w:firstLine="482" w:firstLineChars="200"/>
        <w:rPr>
          <w:rFonts w:ascii="仿宋_GB2312" w:eastAsia="仿宋_GB2312"/>
          <w:b/>
          <w:bCs/>
          <w:color w:val="000000"/>
          <w:sz w:val="24"/>
        </w:rPr>
      </w:pPr>
      <w:r>
        <w:rPr>
          <w:rFonts w:hint="eastAsia" w:ascii="仿宋_GB2312" w:eastAsia="仿宋_GB2312"/>
          <w:b/>
          <w:bCs/>
          <w:color w:val="000000"/>
          <w:sz w:val="24"/>
        </w:rPr>
        <w:t>三、自竞价公告发布后，有意竞价者可及时联系咨询并申请查询其他相关竞价文件资料，多方位了解该标的的现状、情况资料及竞价方式。</w:t>
      </w:r>
    </w:p>
    <w:p w14:paraId="1BCA7D01">
      <w:pPr>
        <w:pStyle w:val="4"/>
        <w:widowControl/>
        <w:adjustRightInd w:val="0"/>
        <w:snapToGrid w:val="0"/>
        <w:spacing w:beforeAutospacing="0" w:afterAutospacing="0" w:line="233" w:lineRule="auto"/>
        <w:ind w:firstLine="482" w:firstLineChars="200"/>
        <w:rPr>
          <w:rFonts w:ascii="仿宋_GB2312" w:hAnsi="Times New Roman" w:eastAsia="仿宋"/>
          <w:color w:val="000000"/>
          <w:kern w:val="2"/>
        </w:rPr>
      </w:pPr>
      <w:r>
        <w:rPr>
          <w:rFonts w:ascii="仿宋_GB2312" w:hAnsi="Times New Roman" w:eastAsia="仿宋_GB2312"/>
          <w:b/>
          <w:bCs/>
          <w:color w:val="000000"/>
          <w:kern w:val="2"/>
        </w:rPr>
        <w:t>四、</w:t>
      </w:r>
      <w:r>
        <w:rPr>
          <w:rFonts w:hint="eastAsia" w:ascii="仿宋_GB2312" w:hAnsi="Times New Roman" w:eastAsia="仿宋_GB2312"/>
          <w:b/>
          <w:bCs/>
          <w:color w:val="000000"/>
          <w:kern w:val="2"/>
        </w:rPr>
        <w:t>展示时间：</w:t>
      </w:r>
      <w:r>
        <w:rPr>
          <w:rFonts w:hint="eastAsia" w:ascii="仿宋" w:eastAsia="仿宋" w:cs="仿宋"/>
          <w:b/>
          <w:bCs/>
          <w:color w:val="000000" w:themeColor="text1"/>
        </w:rPr>
        <w:t>2025年8月12、13日。</w:t>
      </w:r>
    </w:p>
    <w:p w14:paraId="6531A2B0">
      <w:pPr>
        <w:adjustRightInd w:val="0"/>
        <w:snapToGrid w:val="0"/>
        <w:ind w:firstLine="482" w:firstLineChars="200"/>
        <w:rPr>
          <w:rFonts w:ascii="仿宋_GB2312" w:eastAsia="仿宋_GB2312"/>
          <w:b/>
          <w:bCs/>
          <w:color w:val="000000"/>
          <w:sz w:val="24"/>
        </w:rPr>
      </w:pPr>
      <w:r>
        <w:rPr>
          <w:rFonts w:hint="eastAsia" w:ascii="仿宋_GB2312" w:eastAsia="仿宋_GB2312"/>
          <w:b/>
          <w:bCs/>
          <w:color w:val="000000"/>
          <w:sz w:val="24"/>
        </w:rPr>
        <w:t>五、本次竞价标的的品质、法律关系、自然损耗等均按标的物移交时的现状为准，对竞价标的的各方面状况，竞价人须自行了解、查验其具体情况，对标的使用性能、质量、完好率、权利瑕疵等状况须竞价人自行现场勘察核实（竞价人对标的上述信息有疑义的，须在竞价前向产权人或处置人进行咨询，并同时向代理机构提出），并对竞价本标的可能存在的投资风险进行充分评估。</w:t>
      </w:r>
    </w:p>
    <w:p w14:paraId="274E1639">
      <w:pPr>
        <w:adjustRightInd w:val="0"/>
        <w:snapToGrid w:val="0"/>
        <w:ind w:firstLine="482" w:firstLineChars="200"/>
        <w:rPr>
          <w:rFonts w:ascii="仿宋_GB2312" w:eastAsia="仿宋_GB2312"/>
          <w:b/>
          <w:bCs/>
          <w:color w:val="000000"/>
          <w:sz w:val="24"/>
        </w:rPr>
      </w:pPr>
      <w:r>
        <w:rPr>
          <w:rFonts w:hint="eastAsia" w:ascii="仿宋_GB2312" w:eastAsia="仿宋_GB2312"/>
          <w:b/>
          <w:bCs/>
          <w:color w:val="000000"/>
          <w:sz w:val="24"/>
        </w:rPr>
        <w:t>★六、报名及竞价保证金的交纳方式：</w:t>
      </w:r>
    </w:p>
    <w:p w14:paraId="2F69EE72">
      <w:pPr>
        <w:adjustRightInd w:val="0"/>
        <w:snapToGrid w:val="0"/>
        <w:ind w:firstLine="482" w:firstLineChars="200"/>
        <w:rPr>
          <w:rFonts w:ascii="仿宋_GB2312" w:eastAsia="仿宋_GB2312"/>
          <w:color w:val="000000"/>
          <w:sz w:val="24"/>
        </w:rPr>
      </w:pPr>
      <w:r>
        <w:rPr>
          <w:rFonts w:hint="eastAsia" w:ascii="仿宋_GB2312" w:eastAsia="仿宋_GB2312"/>
          <w:b/>
          <w:bCs/>
          <w:color w:val="auto"/>
          <w:sz w:val="24"/>
        </w:rPr>
        <w:t>本场竞价会在网络竞价</w:t>
      </w:r>
      <w:r>
        <w:rPr>
          <w:rFonts w:ascii="仿宋_GB2312" w:eastAsia="仿宋_GB2312"/>
          <w:b/>
          <w:bCs/>
          <w:color w:val="auto"/>
          <w:sz w:val="24"/>
        </w:rPr>
        <w:t>公告发布后即可</w:t>
      </w:r>
      <w:r>
        <w:rPr>
          <w:rFonts w:hint="eastAsia" w:ascii="仿宋_GB2312" w:eastAsia="仿宋_GB2312"/>
          <w:b/>
          <w:bCs/>
          <w:color w:val="auto"/>
          <w:sz w:val="24"/>
        </w:rPr>
        <w:t>在</w:t>
      </w:r>
      <w:r>
        <w:rPr>
          <w:rFonts w:ascii="仿宋_GB2312" w:eastAsia="仿宋_GB2312"/>
          <w:b/>
          <w:bCs/>
          <w:color w:val="auto"/>
          <w:sz w:val="24"/>
        </w:rPr>
        <w:t>线上报名及缴纳</w:t>
      </w:r>
      <w:r>
        <w:rPr>
          <w:rFonts w:hint="eastAsia" w:ascii="仿宋_GB2312" w:eastAsia="仿宋_GB2312"/>
          <w:b/>
          <w:bCs/>
          <w:color w:val="auto"/>
          <w:sz w:val="24"/>
        </w:rPr>
        <w:t>竞价</w:t>
      </w:r>
      <w:r>
        <w:rPr>
          <w:rFonts w:ascii="仿宋_GB2312" w:eastAsia="仿宋_GB2312"/>
          <w:b/>
          <w:bCs/>
          <w:color w:val="auto"/>
          <w:sz w:val="24"/>
        </w:rPr>
        <w:t>保证金</w:t>
      </w:r>
      <w:r>
        <w:rPr>
          <w:rFonts w:hint="eastAsia" w:ascii="仿宋_GB2312" w:eastAsia="仿宋_GB2312"/>
          <w:b/>
          <w:bCs/>
          <w:color w:val="auto"/>
          <w:sz w:val="24"/>
        </w:rPr>
        <w:t>。</w:t>
      </w:r>
      <w:r>
        <w:rPr>
          <w:rFonts w:hint="eastAsia" w:ascii="仿宋_GB2312" w:eastAsia="仿宋_GB2312"/>
          <w:color w:val="000000"/>
          <w:sz w:val="24"/>
        </w:rPr>
        <w:t>标的须有两人或两人以上报名且至少有一人出价，方可成交；若报名人数不足两人的，该标的取消竞价，由此对竞价人造成的损失由其自负。</w:t>
      </w:r>
    </w:p>
    <w:p w14:paraId="4183C810">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竞价人参与竞价前应在智慧越城产权</w:t>
      </w:r>
      <w:bookmarkStart w:id="1" w:name="OLE_LINK8"/>
      <w:r>
        <w:rPr>
          <w:rFonts w:hint="eastAsia" w:ascii="仿宋_GB2312" w:eastAsia="仿宋_GB2312"/>
          <w:color w:val="000000"/>
          <w:sz w:val="24"/>
        </w:rPr>
        <w:t>交易</w:t>
      </w:r>
      <w:bookmarkEnd w:id="1"/>
      <w:r>
        <w:rPr>
          <w:rFonts w:hint="eastAsia" w:ascii="仿宋_GB2312" w:eastAsia="仿宋_GB2312"/>
          <w:color w:val="000000"/>
          <w:sz w:val="24"/>
        </w:rPr>
        <w:t>平台上进行实名注册，注册成功后请按智慧越城产权交易平台的提示进行操作。竞价人线上报名及缴纳保证金后，方可参与竞价，竞价结束后未成交者的竞价保证金将在规定时间内自动退回竞价人原支付账户（不计息）。本标的物买受人缴纳的竞价保证金，在买受人守约付清其他所有竞价应付款项及履行其他约定义务后，交易中心根据本公司出具的保证金退还意见后将买受人的竞价保证金自动退回原支付账户（不计息）。</w:t>
      </w:r>
    </w:p>
    <w:p w14:paraId="3EA63206">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竞价人参与竞价，支付竞价保证金可能会碰到当天限额无法支付的情况，请竞价人根据自身情况选择合适的网上银行。</w:t>
      </w:r>
    </w:p>
    <w:p w14:paraId="3FB3E3C7">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1、本次网络竞价线上报名及竞价PC电脑端网址：本次网络竞价线上报名及竞价可由绍兴市越城区人民政府官网（http://www.sxyc.gov.cn/col/col1559723/index.html）中找到产权交易栏目下的“竞买人报名”，进行报名竞价。</w:t>
      </w:r>
    </w:p>
    <w:p w14:paraId="70C66D7A">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竞价人（即其后的买受人）报名竞价的姓名必须与今后签订《房屋租赁合同》的名称一致，不予更改，不予增减。</w:t>
      </w:r>
    </w:p>
    <w:p w14:paraId="47327E46">
      <w:pPr>
        <w:adjustRightInd w:val="0"/>
        <w:snapToGrid w:val="0"/>
        <w:ind w:firstLine="480" w:firstLineChars="200"/>
        <w:rPr>
          <w:rFonts w:ascii="仿宋_GB2312" w:eastAsia="仿宋_GB2312"/>
          <w:color w:val="000000"/>
          <w:sz w:val="24"/>
        </w:rPr>
      </w:pPr>
      <w:r>
        <w:rPr>
          <w:rFonts w:ascii="仿宋_GB2312" w:eastAsia="仿宋_GB2312"/>
          <w:color w:val="000000"/>
          <w:sz w:val="24"/>
        </w:rPr>
        <w:t>2、</w:t>
      </w:r>
      <w:r>
        <w:rPr>
          <w:rFonts w:hint="eastAsia" w:ascii="仿宋_GB2312" w:eastAsia="仿宋_GB2312"/>
          <w:color w:val="000000"/>
          <w:sz w:val="24"/>
        </w:rPr>
        <w:t>竞价人</w:t>
      </w:r>
      <w:r>
        <w:rPr>
          <w:rFonts w:ascii="仿宋_GB2312" w:eastAsia="仿宋_GB2312"/>
          <w:color w:val="000000"/>
          <w:sz w:val="24"/>
        </w:rPr>
        <w:t>注册成功</w:t>
      </w:r>
      <w:r>
        <w:rPr>
          <w:rFonts w:hint="eastAsia" w:ascii="仿宋_GB2312" w:eastAsia="仿宋_GB2312"/>
          <w:color w:val="000000"/>
          <w:sz w:val="24"/>
        </w:rPr>
        <w:t>并报名</w:t>
      </w:r>
      <w:r>
        <w:rPr>
          <w:rFonts w:ascii="仿宋_GB2312" w:eastAsia="仿宋_GB2312"/>
          <w:color w:val="000000"/>
          <w:sz w:val="24"/>
        </w:rPr>
        <w:t>后，须向指定账户交纳</w:t>
      </w:r>
      <w:r>
        <w:rPr>
          <w:rFonts w:hint="eastAsia" w:ascii="仿宋_GB2312" w:eastAsia="仿宋_GB2312"/>
          <w:color w:val="000000"/>
          <w:sz w:val="24"/>
        </w:rPr>
        <w:t>竞价</w:t>
      </w:r>
      <w:r>
        <w:rPr>
          <w:rFonts w:ascii="仿宋_GB2312" w:eastAsia="仿宋_GB2312"/>
          <w:color w:val="000000"/>
          <w:sz w:val="24"/>
        </w:rPr>
        <w:t>保证金。</w:t>
      </w:r>
    </w:p>
    <w:p w14:paraId="2BDF8DCE">
      <w:pPr>
        <w:adjustRightInd w:val="0"/>
        <w:snapToGrid w:val="0"/>
        <w:ind w:firstLine="480" w:firstLineChars="200"/>
        <w:rPr>
          <w:rFonts w:hint="eastAsia" w:ascii="仿宋_GB2312" w:eastAsia="仿宋_GB2312"/>
          <w:color w:val="000000"/>
          <w:sz w:val="24"/>
        </w:rPr>
      </w:pPr>
      <w:r>
        <w:rPr>
          <w:rFonts w:hint="eastAsia" w:ascii="仿宋_GB2312" w:eastAsia="仿宋_GB2312"/>
          <w:color w:val="000000"/>
          <w:sz w:val="24"/>
        </w:rPr>
        <w:t>竞价保证金缴入账户1：绍兴市公共资源交易中心越城区分中心保证金专户，开户银行：绍兴恒信农村商业银行股份有限公司城东支行，账号：201000332252384001024                     。</w:t>
      </w:r>
    </w:p>
    <w:p w14:paraId="1C2B9930">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 xml:space="preserve">竞价保证金缴入账户2：绍兴市公共资源交易中心越城区分中心保证金专户，开户银行：中国农业银行股份有限公司绍兴越城支行，账号：6228400377663641669 </w:t>
      </w:r>
      <w:bookmarkStart w:id="6" w:name="_GoBack"/>
      <w:bookmarkEnd w:id="6"/>
      <w:r>
        <w:rPr>
          <w:rFonts w:hint="eastAsia" w:ascii="仿宋_GB2312" w:eastAsia="仿宋_GB2312"/>
          <w:color w:val="000000"/>
          <w:sz w:val="24"/>
        </w:rPr>
        <w:t xml:space="preserve">                    。 </w:t>
      </w:r>
    </w:p>
    <w:p w14:paraId="59399829">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 xml:space="preserve"> </w:t>
      </w:r>
      <w:bookmarkStart w:id="2" w:name="OLE_LINK7"/>
      <w:r>
        <w:rPr>
          <w:rFonts w:hint="eastAsia" w:ascii="仿宋_GB2312" w:eastAsia="仿宋_GB2312"/>
          <w:color w:val="000000"/>
          <w:sz w:val="24"/>
        </w:rPr>
        <w:t>竞价人保证金缴款人的名称及报名参加竞价时的名称必须与今后买受人的名称保持一致，不予更改，不予增减</w:t>
      </w:r>
      <w:bookmarkEnd w:id="2"/>
      <w:r>
        <w:rPr>
          <w:rFonts w:hint="eastAsia" w:ascii="仿宋_GB2312" w:eastAsia="仿宋_GB2312"/>
          <w:color w:val="000000"/>
          <w:sz w:val="24"/>
        </w:rPr>
        <w:t>。</w:t>
      </w:r>
      <w:r>
        <w:rPr>
          <w:rFonts w:ascii="仿宋_GB2312" w:eastAsia="仿宋_GB2312"/>
          <w:color w:val="000000"/>
          <w:sz w:val="24"/>
        </w:rPr>
        <w:t>报名及</w:t>
      </w:r>
      <w:r>
        <w:rPr>
          <w:rFonts w:hint="eastAsia" w:ascii="仿宋_GB2312" w:eastAsia="仿宋_GB2312"/>
          <w:color w:val="000000"/>
          <w:sz w:val="24"/>
        </w:rPr>
        <w:t>竞价</w:t>
      </w:r>
      <w:r>
        <w:rPr>
          <w:rFonts w:ascii="仿宋_GB2312" w:eastAsia="仿宋_GB2312"/>
          <w:color w:val="000000"/>
          <w:sz w:val="24"/>
        </w:rPr>
        <w:t>保证金交纳于</w:t>
      </w:r>
      <w:r>
        <w:rPr>
          <w:rFonts w:ascii="仿宋_GB2312" w:eastAsia="仿宋_GB2312"/>
          <w:color w:val="auto"/>
          <w:sz w:val="24"/>
        </w:rPr>
        <w:t>202</w:t>
      </w:r>
      <w:r>
        <w:rPr>
          <w:rFonts w:hint="eastAsia" w:ascii="仿宋_GB2312" w:eastAsia="仿宋_GB2312"/>
          <w:color w:val="auto"/>
          <w:sz w:val="24"/>
        </w:rPr>
        <w:t>5</w:t>
      </w:r>
      <w:r>
        <w:rPr>
          <w:rFonts w:ascii="仿宋_GB2312" w:eastAsia="仿宋_GB2312"/>
          <w:color w:val="auto"/>
          <w:sz w:val="24"/>
        </w:rPr>
        <w:t>年</w:t>
      </w:r>
      <w:r>
        <w:rPr>
          <w:rFonts w:hint="eastAsia" w:ascii="仿宋_GB2312" w:eastAsia="仿宋_GB2312"/>
          <w:color w:val="auto"/>
          <w:sz w:val="24"/>
        </w:rPr>
        <w:t>8</w:t>
      </w:r>
      <w:r>
        <w:rPr>
          <w:rFonts w:ascii="仿宋_GB2312" w:eastAsia="仿宋_GB2312"/>
          <w:color w:val="auto"/>
          <w:sz w:val="24"/>
        </w:rPr>
        <w:t>月</w:t>
      </w:r>
      <w:r>
        <w:rPr>
          <w:rFonts w:hint="eastAsia" w:ascii="仿宋_GB2312" w:eastAsia="仿宋_GB2312"/>
          <w:color w:val="auto"/>
          <w:sz w:val="24"/>
        </w:rPr>
        <w:t>1</w:t>
      </w:r>
      <w:r>
        <w:rPr>
          <w:rFonts w:hint="eastAsia" w:ascii="仿宋_GB2312" w:eastAsia="仿宋_GB2312"/>
          <w:color w:val="auto"/>
          <w:sz w:val="24"/>
          <w:lang w:val="en-US" w:eastAsia="zh-CN"/>
        </w:rPr>
        <w:t>8</w:t>
      </w:r>
      <w:r>
        <w:rPr>
          <w:rFonts w:ascii="仿宋_GB2312" w:eastAsia="仿宋_GB2312"/>
          <w:color w:val="auto"/>
          <w:sz w:val="24"/>
        </w:rPr>
        <w:t>日16</w:t>
      </w:r>
      <w:r>
        <w:rPr>
          <w:rFonts w:hint="eastAsia" w:ascii="仿宋_GB2312" w:eastAsia="仿宋_GB2312"/>
          <w:color w:val="auto"/>
          <w:sz w:val="24"/>
        </w:rPr>
        <w:t>时</w:t>
      </w:r>
      <w:r>
        <w:rPr>
          <w:rFonts w:ascii="仿宋_GB2312" w:eastAsia="仿宋_GB2312"/>
          <w:color w:val="000000"/>
          <w:sz w:val="24"/>
        </w:rPr>
        <w:t>截止</w:t>
      </w:r>
      <w:r>
        <w:rPr>
          <w:rFonts w:hint="eastAsia" w:ascii="仿宋_GB2312" w:eastAsia="仿宋_GB2312"/>
          <w:color w:val="000000"/>
          <w:sz w:val="24"/>
        </w:rPr>
        <w:t>，以银行到账时间为准</w:t>
      </w:r>
      <w:r>
        <w:rPr>
          <w:rFonts w:ascii="仿宋_GB2312" w:eastAsia="仿宋_GB2312"/>
          <w:color w:val="000000"/>
          <w:sz w:val="24"/>
        </w:rPr>
        <w:t>。</w:t>
      </w:r>
    </w:p>
    <w:p w14:paraId="2DCC65FB">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3、竞价</w:t>
      </w:r>
      <w:r>
        <w:rPr>
          <w:rFonts w:ascii="仿宋_GB2312" w:eastAsia="仿宋_GB2312"/>
          <w:color w:val="000000"/>
          <w:sz w:val="24"/>
        </w:rPr>
        <w:t>保证金</w:t>
      </w:r>
      <w:r>
        <w:rPr>
          <w:rFonts w:hint="eastAsia" w:ascii="仿宋_GB2312" w:eastAsia="仿宋_GB2312"/>
          <w:color w:val="000000"/>
          <w:sz w:val="24"/>
        </w:rPr>
        <w:t>缴纳须按照智慧越城产权</w:t>
      </w:r>
      <w:bookmarkStart w:id="3" w:name="OLE_LINK3"/>
      <w:r>
        <w:rPr>
          <w:rFonts w:hint="eastAsia" w:ascii="仿宋_GB2312" w:eastAsia="仿宋_GB2312"/>
          <w:color w:val="000000"/>
          <w:sz w:val="24"/>
        </w:rPr>
        <w:t>交易</w:t>
      </w:r>
      <w:bookmarkEnd w:id="3"/>
      <w:r>
        <w:rPr>
          <w:rFonts w:hint="eastAsia" w:ascii="仿宋_GB2312" w:eastAsia="仿宋_GB2312"/>
          <w:color w:val="000000"/>
          <w:sz w:val="24"/>
        </w:rPr>
        <w:t>平台页面提示采用网银转账一次性缴纳，不支持微信、支付宝等方式，可能会遇到当天限额无法支付的情况，请竞价人提前确认是否开通网上银行及支付银行的转账限额</w:t>
      </w:r>
      <w:r>
        <w:rPr>
          <w:rFonts w:ascii="仿宋_GB2312" w:eastAsia="仿宋_GB2312"/>
          <w:color w:val="000000"/>
          <w:sz w:val="24"/>
        </w:rPr>
        <w:t>。</w:t>
      </w:r>
    </w:p>
    <w:p w14:paraId="1CD96AC8">
      <w:pPr>
        <w:adjustRightInd w:val="0"/>
        <w:snapToGrid w:val="0"/>
        <w:ind w:firstLine="480" w:firstLineChars="200"/>
        <w:rPr>
          <w:rFonts w:ascii="仿宋_GB2312" w:eastAsia="仿宋_GB2312"/>
          <w:color w:val="auto"/>
          <w:sz w:val="24"/>
        </w:rPr>
      </w:pPr>
      <w:r>
        <w:rPr>
          <w:rFonts w:hint="eastAsia" w:ascii="仿宋_GB2312" w:eastAsia="仿宋_GB2312"/>
          <w:color w:val="auto"/>
          <w:sz w:val="24"/>
        </w:rPr>
        <w:t>4、网络竞价定于2025年8月1</w:t>
      </w:r>
      <w:r>
        <w:rPr>
          <w:rFonts w:hint="eastAsia" w:ascii="仿宋_GB2312" w:eastAsia="仿宋_GB2312"/>
          <w:color w:val="auto"/>
          <w:sz w:val="24"/>
          <w:lang w:val="en-US" w:eastAsia="zh-CN"/>
        </w:rPr>
        <w:t>9</w:t>
      </w:r>
      <w:r>
        <w:rPr>
          <w:rFonts w:hint="eastAsia" w:ascii="仿宋_GB2312" w:eastAsia="仿宋_GB2312"/>
          <w:color w:val="auto"/>
          <w:sz w:val="24"/>
        </w:rPr>
        <w:t>日上午10时（延时除外）在智慧越城产权交易平台进行。</w:t>
      </w:r>
    </w:p>
    <w:p w14:paraId="4A0B68F7">
      <w:pPr>
        <w:adjustRightInd w:val="0"/>
        <w:snapToGrid w:val="0"/>
        <w:ind w:firstLine="480" w:firstLineChars="200"/>
        <w:rPr>
          <w:rFonts w:ascii="仿宋_GB2312" w:eastAsia="仿宋_GB2312"/>
          <w:color w:val="000000"/>
          <w:sz w:val="24"/>
        </w:rPr>
      </w:pPr>
      <w:r>
        <w:rPr>
          <w:rFonts w:ascii="仿宋_GB2312" w:eastAsia="仿宋_GB2312"/>
          <w:color w:val="000000"/>
          <w:sz w:val="24"/>
        </w:rPr>
        <w:t>5</w:t>
      </w:r>
      <w:r>
        <w:rPr>
          <w:rFonts w:hint="eastAsia" w:ascii="仿宋_GB2312" w:eastAsia="仿宋_GB2312"/>
          <w:color w:val="000000"/>
          <w:sz w:val="24"/>
        </w:rPr>
        <w:t>、委托报名事项。如参与竞价人为法人和其他组织，可委托代理人（具备完全民事行为能力的自然人）进行报名竞价。委托关系代理人向代理机构所递交的证件信息必须与其智慧越城产权交易平台账户中信息一致；需携带递交的授权委托材料等详见附件。若竞价人将授权委托书采用邮寄方式申请办理的，授权事项代理机构有权不予确认。</w:t>
      </w:r>
    </w:p>
    <w:p w14:paraId="5E191B57">
      <w:pPr>
        <w:adjustRightInd w:val="0"/>
        <w:snapToGrid w:val="0"/>
        <w:ind w:firstLine="482" w:firstLineChars="200"/>
        <w:rPr>
          <w:rFonts w:ascii="仿宋_GB2312" w:eastAsia="仿宋_GB2312"/>
          <w:b/>
          <w:bCs/>
          <w:color w:val="000000"/>
          <w:sz w:val="24"/>
        </w:rPr>
      </w:pPr>
      <w:r>
        <w:rPr>
          <w:rFonts w:hint="eastAsia" w:ascii="仿宋_GB2312" w:eastAsia="仿宋_GB2312"/>
          <w:b/>
          <w:bCs/>
          <w:color w:val="000000"/>
          <w:sz w:val="24"/>
        </w:rPr>
        <w:t>七、竞价人（或期后的买受人）信息资料：</w:t>
      </w:r>
    </w:p>
    <w:p w14:paraId="4473E188">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竞价人在竞价前如实向智慧越城产权交易平台提供正确的通讯方式及地址，上述地址确认为邮寄地址，如需更改，买受人应在竞价活动结束后与代理机构联系确认更改。如果提供的通讯地址不准确，或不及时告知变更后的地址，自行承担由此可能产生的一切法律后果。</w:t>
      </w:r>
    </w:p>
    <w:p w14:paraId="29C92A95">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标的竞价成功后，买受人须在2025年8月20日前与代理机构联系预约后，向代理机构递交下列买受人身份证件资料：</w:t>
      </w:r>
    </w:p>
    <w:p w14:paraId="0E5CD05B">
      <w:pPr>
        <w:adjustRightInd w:val="0"/>
        <w:snapToGrid w:val="0"/>
        <w:ind w:firstLine="480" w:firstLineChars="200"/>
        <w:rPr>
          <w:rFonts w:ascii="仿宋_GB2312" w:eastAsia="仿宋_GB2312"/>
          <w:color w:val="000000"/>
          <w:sz w:val="24"/>
        </w:rPr>
      </w:pPr>
      <w:r>
        <w:rPr>
          <w:rFonts w:ascii="仿宋_GB2312" w:eastAsia="仿宋_GB2312"/>
          <w:color w:val="000000"/>
          <w:sz w:val="24"/>
        </w:rPr>
        <w:t>1</w:t>
      </w:r>
      <w:r>
        <w:rPr>
          <w:rFonts w:hint="eastAsia" w:ascii="仿宋_GB2312" w:eastAsia="仿宋_GB2312"/>
          <w:color w:val="000000"/>
          <w:sz w:val="24"/>
        </w:rPr>
        <w:t>、自然人成交的须提交有效身份证件原件及复印件3份。</w:t>
      </w:r>
    </w:p>
    <w:p w14:paraId="5053832E">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2、法人成交的须提交营业执照原件及其加盖公章的复印件3份、法定代表人身份证明3份（加盖公章）。</w:t>
      </w:r>
    </w:p>
    <w:p w14:paraId="12FD2BF1">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3、其它组织成交的须提交单位有效证照原件及其加盖公章的复印件3份、负责人身份证明3份（加盖公章）。</w:t>
      </w:r>
    </w:p>
    <w:p w14:paraId="77B40FEF">
      <w:pPr>
        <w:adjustRightInd w:val="0"/>
        <w:snapToGrid w:val="0"/>
        <w:ind w:firstLine="480" w:firstLineChars="200"/>
        <w:rPr>
          <w:rFonts w:ascii="仿宋" w:hAnsi="仿宋" w:eastAsia="仿宋" w:cs="仿宋"/>
          <w:bCs/>
          <w:sz w:val="28"/>
          <w:szCs w:val="28"/>
        </w:rPr>
      </w:pPr>
      <w:r>
        <w:rPr>
          <w:rFonts w:hint="eastAsia" w:ascii="仿宋_GB2312" w:eastAsia="仿宋_GB2312"/>
          <w:color w:val="000000"/>
          <w:sz w:val="24"/>
        </w:rPr>
        <w:t>4、房屋租赁用途承诺书3份。</w:t>
      </w:r>
    </w:p>
    <w:p w14:paraId="4DC78CA8">
      <w:pPr>
        <w:adjustRightInd w:val="0"/>
        <w:snapToGrid w:val="0"/>
        <w:ind w:firstLine="482" w:firstLineChars="200"/>
        <w:rPr>
          <w:rFonts w:ascii="仿宋_GB2312" w:eastAsia="仿宋_GB2312"/>
          <w:b/>
          <w:bCs/>
          <w:color w:val="000000"/>
          <w:sz w:val="24"/>
        </w:rPr>
      </w:pPr>
      <w:r>
        <w:rPr>
          <w:rFonts w:hint="eastAsia" w:ascii="仿宋_GB2312" w:eastAsia="仿宋_GB2312"/>
          <w:b/>
          <w:bCs/>
          <w:color w:val="000000"/>
          <w:sz w:val="24"/>
        </w:rPr>
        <w:t>八、竞价人（或期后的买受人）竞价承诺：</w:t>
      </w:r>
    </w:p>
    <w:p w14:paraId="1560E552">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竞价人报名并缴纳相关竞价保证金，视为向代理机构作出如下承诺：</w:t>
      </w:r>
    </w:p>
    <w:p w14:paraId="2EA69214">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1、竞价人自认符合本次竞价的竞价资格。</w:t>
      </w:r>
    </w:p>
    <w:p w14:paraId="74D842FC">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2、交易文件知悉。竞价人仔细阅读并理解了所有竞价文件，并完全接受上述文件所规定的各项条款。</w:t>
      </w:r>
    </w:p>
    <w:p w14:paraId="41FB50B5">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3、标的现状知悉。竞价人已被告知并完全理解，本次竞价标的数量、品质及周边相邻关系等均以移交时的现状为准。竞价人对竞价标的内外各方面物资构造、权属问题，已作了多方位的咨询、了解、查验、核实等。</w:t>
      </w:r>
    </w:p>
    <w:p w14:paraId="17C7B945">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4、风险和瑕疵知悉。竞价人认同，代理机构已经对竞价标的的来源、瑕疵和风险进行了提示和披露，但竞价人也并非完全依赖竞价文件资料，竞价人已自行或委托专人对竞价标的的来源、瑕疵和风险进行了充分尽职调查确认。竞价人一旦进入网络竞价平台，并决定参与竞价的，视为对竞价财产完全了解，并接受标的物以实物现状移交和一切已知及未知的瑕疵。</w:t>
      </w:r>
    </w:p>
    <w:p w14:paraId="6B072795">
      <w:pPr>
        <w:adjustRightInd w:val="0"/>
        <w:snapToGrid w:val="0"/>
        <w:ind w:firstLine="482" w:firstLineChars="200"/>
        <w:rPr>
          <w:rFonts w:ascii="仿宋_GB2312" w:eastAsia="仿宋_GB2312"/>
          <w:b/>
          <w:bCs/>
          <w:color w:val="000000"/>
          <w:sz w:val="24"/>
        </w:rPr>
      </w:pPr>
      <w:r>
        <w:rPr>
          <w:rFonts w:hint="eastAsia" w:ascii="仿宋_GB2312" w:eastAsia="仿宋_GB2312"/>
          <w:b/>
          <w:bCs/>
          <w:color w:val="000000"/>
          <w:sz w:val="24"/>
        </w:rPr>
        <w:t>九、竞价成交后，竞价成交款、佣金等款项的支付事项：</w:t>
      </w:r>
    </w:p>
    <w:p w14:paraId="58FD9287">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竞价成交后，买受人须在2025年8月20日前与代理机构联系预约后到绍兴市越城区浦江路4号与代理机构签署线下《成交确认书》及补签网上相关竞价文件材料。</w:t>
      </w:r>
    </w:p>
    <w:p w14:paraId="2CB943B4">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竞价佣金的支付方式：竞价成交后，买受人须向代理机构另行支付标的年租金5</w:t>
      </w:r>
      <w:r>
        <w:rPr>
          <w:rFonts w:ascii="仿宋_GB2312" w:eastAsia="仿宋_GB2312"/>
          <w:color w:val="000000"/>
          <w:sz w:val="24"/>
        </w:rPr>
        <w:t>%</w:t>
      </w:r>
      <w:r>
        <w:rPr>
          <w:rFonts w:hint="eastAsia" w:ascii="仿宋_GB2312" w:eastAsia="仿宋_GB2312"/>
          <w:color w:val="000000"/>
          <w:sz w:val="24"/>
        </w:rPr>
        <w:t>的竞价佣金。竞价佣金买受人须在</w:t>
      </w:r>
      <w:r>
        <w:rPr>
          <w:rFonts w:ascii="仿宋_GB2312" w:eastAsia="仿宋_GB2312"/>
          <w:color w:val="000000" w:themeColor="text1"/>
          <w:sz w:val="24"/>
        </w:rPr>
        <w:t>202</w:t>
      </w:r>
      <w:r>
        <w:rPr>
          <w:rFonts w:hint="eastAsia" w:ascii="仿宋_GB2312" w:eastAsia="仿宋_GB2312"/>
          <w:color w:val="000000" w:themeColor="text1"/>
          <w:sz w:val="24"/>
        </w:rPr>
        <w:t>5年8月22日</w:t>
      </w:r>
      <w:r>
        <w:rPr>
          <w:rFonts w:ascii="仿宋_GB2312" w:eastAsia="仿宋_GB2312"/>
          <w:color w:val="000000" w:themeColor="text1"/>
          <w:sz w:val="24"/>
        </w:rPr>
        <w:t>16</w:t>
      </w:r>
      <w:r>
        <w:rPr>
          <w:rFonts w:hint="eastAsia" w:ascii="仿宋_GB2312" w:eastAsia="仿宋_GB2312"/>
          <w:color w:val="000000" w:themeColor="text1"/>
          <w:sz w:val="24"/>
        </w:rPr>
        <w:t>时</w:t>
      </w:r>
      <w:r>
        <w:rPr>
          <w:rFonts w:hint="eastAsia" w:ascii="仿宋_GB2312" w:eastAsia="仿宋_GB2312"/>
          <w:color w:val="000000"/>
          <w:sz w:val="24"/>
        </w:rPr>
        <w:t>前足额缴入代理机构指定账户。代理机构只向买受人出具增值税普通发票。</w:t>
      </w:r>
    </w:p>
    <w:p w14:paraId="477CA5ED">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竞价成交款及租赁合同中约定款项的支付方式：竞价成交款，履约保证金（年租金的20%，取整至元）在</w:t>
      </w:r>
      <w:r>
        <w:rPr>
          <w:rFonts w:hint="eastAsia" w:ascii="仿宋_GB2312" w:eastAsia="仿宋_GB2312"/>
          <w:color w:val="auto"/>
          <w:sz w:val="24"/>
        </w:rPr>
        <w:t>2025年8月22日16时</w:t>
      </w:r>
      <w:r>
        <w:rPr>
          <w:rFonts w:hint="eastAsia" w:ascii="仿宋_GB2312" w:eastAsia="仿宋_GB2312"/>
          <w:color w:val="000000"/>
          <w:sz w:val="24"/>
        </w:rPr>
        <w:t>前缴入委托人指定银行账户：绍兴市历史文化名城保护服务中心，第一年租金缴入账号</w:t>
      </w:r>
      <w:r>
        <w:rPr>
          <w:rFonts w:hint="eastAsia" w:ascii="仿宋_GB2312" w:eastAsia="仿宋_GB2312"/>
          <w:color w:val="auto"/>
          <w:sz w:val="24"/>
        </w:rPr>
        <w:t>（账户名：绍兴市历史文化名城保护服务中心，开户银行：恒信农商行营业部，账号： 231000003430459）</w:t>
      </w:r>
      <w:r>
        <w:rPr>
          <w:rFonts w:hint="eastAsia" w:ascii="仿宋_GB2312" w:eastAsia="仿宋_GB2312"/>
          <w:color w:val="000000"/>
          <w:sz w:val="24"/>
        </w:rPr>
        <w:t>，由委托方提供增值税普通发票。履约保证金缴入账号</w:t>
      </w:r>
      <w:r>
        <w:rPr>
          <w:rFonts w:hint="eastAsia" w:ascii="仿宋_GB2312" w:eastAsia="仿宋_GB2312"/>
          <w:color w:val="auto"/>
          <w:sz w:val="24"/>
        </w:rPr>
        <w:t>（账户名：绍兴市历史文化名城保护服务中心，开户银行：恒信农商行营业部，账号：231000004023494）</w:t>
      </w:r>
      <w:r>
        <w:rPr>
          <w:rFonts w:hint="eastAsia" w:ascii="仿宋_GB2312" w:eastAsia="仿宋_GB2312"/>
          <w:color w:val="000000"/>
          <w:sz w:val="24"/>
          <w:lang w:eastAsia="zh-CN"/>
        </w:rPr>
        <w:t>，</w:t>
      </w:r>
      <w:r>
        <w:rPr>
          <w:rFonts w:hint="eastAsia" w:ascii="仿宋_GB2312" w:eastAsia="仿宋_GB2312"/>
          <w:color w:val="3A5E21" w:themeColor="accent4" w:themeShade="80"/>
          <w:sz w:val="24"/>
        </w:rPr>
        <w:t>由委托方提供</w:t>
      </w:r>
      <w:r>
        <w:rPr>
          <w:rFonts w:hint="eastAsia" w:ascii="仿宋_GB2312" w:eastAsia="仿宋_GB2312"/>
          <w:color w:val="3A5E21" w:themeColor="accent4" w:themeShade="80"/>
          <w:sz w:val="24"/>
          <w:lang w:val="en-US" w:eastAsia="zh-CN"/>
        </w:rPr>
        <w:t>收款收据</w:t>
      </w:r>
      <w:r>
        <w:rPr>
          <w:rFonts w:hint="eastAsia" w:ascii="仿宋_GB2312" w:eastAsia="仿宋_GB2312"/>
          <w:color w:val="3A5E21" w:themeColor="accent4" w:themeShade="80"/>
          <w:sz w:val="24"/>
        </w:rPr>
        <w:t>。</w:t>
      </w:r>
    </w:p>
    <w:p w14:paraId="24700E2E">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汇款当日，买受人须自行联系委托人款项到账情况。竞价成交款，委托人按照税法及本地区有关规定向买受人提供相应的租金发票。</w:t>
      </w:r>
    </w:p>
    <w:p w14:paraId="23664CF3">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买受人须于</w:t>
      </w:r>
      <w:r>
        <w:rPr>
          <w:rFonts w:hint="eastAsia" w:ascii="仿宋_GB2312" w:eastAsia="仿宋_GB2312"/>
          <w:color w:val="auto"/>
          <w:sz w:val="24"/>
        </w:rPr>
        <w:t>2025年8月26日16时</w:t>
      </w:r>
      <w:r>
        <w:rPr>
          <w:rFonts w:hint="eastAsia" w:ascii="仿宋_GB2312" w:eastAsia="仿宋_GB2312"/>
          <w:color w:val="000000"/>
          <w:sz w:val="24"/>
        </w:rPr>
        <w:t>前与委托方签订租赁合同。买受人支付上述竞价应付款项时，交款人姓名必须与买受人姓名一致。</w:t>
      </w:r>
    </w:p>
    <w:p w14:paraId="5B16BCD1">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竞价成交后，买受人在收到委托人签订的《房屋租赁合同》的通知后，凭《成交确认书》、成交款、履约保证金缴款凭证及有效证件与委托人签订合同，</w:t>
      </w:r>
      <w:r>
        <w:rPr>
          <w:rFonts w:ascii="仿宋_GB2312" w:eastAsia="仿宋_GB2312"/>
          <w:color w:val="000000"/>
          <w:sz w:val="24"/>
        </w:rPr>
        <w:t>实际租赁期起讫日期以</w:t>
      </w:r>
      <w:r>
        <w:rPr>
          <w:rFonts w:hint="eastAsia" w:ascii="仿宋_GB2312" w:eastAsia="仿宋_GB2312"/>
          <w:color w:val="000000"/>
          <w:sz w:val="24"/>
        </w:rPr>
        <w:t>委托人</w:t>
      </w:r>
      <w:r>
        <w:rPr>
          <w:rFonts w:ascii="仿宋_GB2312" w:eastAsia="仿宋_GB2312"/>
          <w:color w:val="000000"/>
          <w:sz w:val="24"/>
        </w:rPr>
        <w:t>与买受人（承租人）签订的《</w:t>
      </w:r>
      <w:r>
        <w:rPr>
          <w:rFonts w:hint="eastAsia" w:ascii="仿宋_GB2312" w:eastAsia="仿宋_GB2312"/>
          <w:color w:val="000000"/>
          <w:sz w:val="24"/>
        </w:rPr>
        <w:t>房屋</w:t>
      </w:r>
      <w:r>
        <w:rPr>
          <w:rFonts w:ascii="仿宋_GB2312" w:eastAsia="仿宋_GB2312"/>
          <w:color w:val="000000"/>
          <w:sz w:val="24"/>
        </w:rPr>
        <w:t>租赁合同》为准</w:t>
      </w:r>
      <w:r>
        <w:rPr>
          <w:rFonts w:hint="eastAsia" w:ascii="仿宋_GB2312" w:eastAsia="仿宋_GB2312"/>
          <w:color w:val="000000"/>
          <w:sz w:val="24"/>
        </w:rPr>
        <w:t>。</w:t>
      </w:r>
    </w:p>
    <w:p w14:paraId="0B7416B2">
      <w:pPr>
        <w:adjustRightInd w:val="0"/>
        <w:snapToGrid w:val="0"/>
        <w:ind w:firstLine="480" w:firstLineChars="200"/>
        <w:rPr>
          <w:rFonts w:ascii="仿宋_GB2312" w:eastAsia="仿宋_GB2312"/>
          <w:color w:val="000000"/>
          <w:sz w:val="24"/>
        </w:rPr>
      </w:pPr>
      <w:r>
        <w:rPr>
          <w:rFonts w:ascii="仿宋_GB2312" w:eastAsia="仿宋_GB2312"/>
          <w:color w:val="000000"/>
          <w:sz w:val="24"/>
        </w:rPr>
        <w:t>本次资产交易所产生的税费及承担方式，根据本</w:t>
      </w:r>
      <w:r>
        <w:rPr>
          <w:rFonts w:hint="eastAsia" w:ascii="仿宋_GB2312" w:eastAsia="仿宋_GB2312"/>
          <w:color w:val="000000"/>
          <w:sz w:val="24"/>
        </w:rPr>
        <w:t>竞价</w:t>
      </w:r>
      <w:r>
        <w:rPr>
          <w:rFonts w:ascii="仿宋_GB2312" w:eastAsia="仿宋_GB2312"/>
          <w:color w:val="000000"/>
          <w:sz w:val="24"/>
        </w:rPr>
        <w:t>须知“特别说明”中确定具体的税费</w:t>
      </w:r>
      <w:r>
        <w:rPr>
          <w:rFonts w:hint="eastAsia" w:ascii="仿宋_GB2312" w:eastAsia="仿宋_GB2312"/>
          <w:color w:val="000000"/>
          <w:sz w:val="24"/>
        </w:rPr>
        <w:t>缴款</w:t>
      </w:r>
      <w:r>
        <w:rPr>
          <w:rFonts w:ascii="仿宋_GB2312" w:eastAsia="仿宋_GB2312"/>
          <w:color w:val="000000"/>
          <w:sz w:val="24"/>
        </w:rPr>
        <w:t>义务人，由其负责依法申报纳税。</w:t>
      </w:r>
    </w:p>
    <w:p w14:paraId="20AFF667">
      <w:pPr>
        <w:adjustRightInd w:val="0"/>
        <w:snapToGrid w:val="0"/>
        <w:ind w:firstLine="482" w:firstLineChars="200"/>
        <w:rPr>
          <w:rFonts w:ascii="仿宋_GB2312" w:eastAsia="仿宋_GB2312"/>
          <w:b/>
          <w:bCs/>
          <w:color w:val="auto"/>
          <w:sz w:val="24"/>
        </w:rPr>
      </w:pPr>
      <w:r>
        <w:rPr>
          <w:rFonts w:hint="eastAsia" w:ascii="仿宋_GB2312" w:eastAsia="仿宋_GB2312"/>
          <w:b/>
          <w:bCs/>
          <w:color w:val="000000"/>
          <w:sz w:val="24"/>
        </w:rPr>
        <w:t>十、</w:t>
      </w:r>
      <w:r>
        <w:rPr>
          <w:rFonts w:hint="eastAsia" w:ascii="仿宋_GB2312" w:eastAsia="仿宋_GB2312"/>
          <w:b/>
          <w:bCs/>
          <w:color w:val="auto"/>
          <w:sz w:val="24"/>
        </w:rPr>
        <w:t>如买受人成交后不按约定线下签署成交确认书等线上竞价文件；逾期或未足额支付竞价款（包括成交款、竞价佣金、履约保证金等）等不按本竞价公告、竞价须知及其附件的要求履行其全部义务，买受人应按照《民法典》合同篇相关规定承担违约责任。买受人违约或悔拍后致使本次竞价目的难以实现的，委托人及代理机构有权解除竞价成交关系，买受人则无权要求返还已交的保证金；按相关法律规定由代理机构征得委托人的同意，将竞价标的再行竞价。竞价标的再行竞价的，原买受人应当支付第一次竞价中本人及委托人应当支付的佣金以及委托人、代理机构其他相关费用损失（包括孳息、催告费用等），再行竞价的价款低于原竞价款的，原买受人应当补足差额。标的须再行竞价的，原买受人不得参与。</w:t>
      </w:r>
    </w:p>
    <w:p w14:paraId="6A4D2F11">
      <w:pPr>
        <w:adjustRightInd w:val="0"/>
        <w:snapToGrid w:val="0"/>
        <w:ind w:firstLine="482" w:firstLineChars="200"/>
        <w:rPr>
          <w:rFonts w:ascii="仿宋_GB2312" w:eastAsia="仿宋_GB2312"/>
          <w:color w:val="000000"/>
          <w:sz w:val="24"/>
        </w:rPr>
      </w:pPr>
      <w:r>
        <w:rPr>
          <w:rFonts w:hint="eastAsia" w:ascii="仿宋_GB2312" w:eastAsia="仿宋_GB2312"/>
          <w:b/>
          <w:bCs/>
          <w:color w:val="000000"/>
          <w:sz w:val="24"/>
        </w:rPr>
        <w:t>十一、交付事项：</w:t>
      </w:r>
      <w:r>
        <w:rPr>
          <w:rFonts w:hint="eastAsia" w:ascii="仿宋_GB2312" w:eastAsia="仿宋_GB2312"/>
          <w:color w:val="000000"/>
          <w:sz w:val="24"/>
        </w:rPr>
        <w:t>由委托人承担本次竞价标的的交付义务，买受人履行全部竞价约定义务后，委托人将房屋按移交时的现状移交买受人使用。</w:t>
      </w:r>
    </w:p>
    <w:p w14:paraId="7555EE86">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若委托人因不可抗力或第三方原因致使延期交付的，委托人则有权另行书面通知相关买受人，买受人自收到委托人通知后合同租期即发生变更，合同租期相应顺延</w:t>
      </w:r>
      <w:r>
        <w:rPr>
          <w:rFonts w:ascii="仿宋_GB2312" w:eastAsia="仿宋_GB2312"/>
          <w:color w:val="000000"/>
          <w:sz w:val="24"/>
        </w:rPr>
        <w:t>。</w:t>
      </w:r>
    </w:p>
    <w:p w14:paraId="0FD976F8">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十二、买受人对所竞得标的的使用，须严格按照法律、行政法规、当地政府或相关部门的规定及房屋租赁用途承诺书执行。</w:t>
      </w:r>
    </w:p>
    <w:p w14:paraId="3E42B8BA">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十三、竞价结束后，代理机构负责与买受人签订《成交确认书》。在买受人支付完本次竞价标的网拍成交价款及履约保证金并确认到账后，代理机构向委托人提交竞价报告，本次竞价程序履行完毕。后续交付或其他事宜由买卖双方按约定链接处理，必要时，代理机构可以给予一定协助，但并非属于代理机构法定义务。因竞价成交及财产的交付、财产权利取得期间，委托人与买受人之间已形成合同关系，双方此合同中相对应的权利与义务，及今后合同的履行、变更，甚至其后合同的解除、撤销等，均由委托人、买受人双方之间解决或结算，与代理机构无涉。</w:t>
      </w:r>
    </w:p>
    <w:p w14:paraId="186A1112">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十四、竞价人请自行线上下载本次竞价的所有竞价文件，仔细阅读本竞价须知及其他相关竞价文件，对竞价文件中所列的各项材料及其内容均须作仔细研究与详尽分析，有任何疑义请向代理机构咨询，并进行了实地勘察及向有关部门进行咨询确认。代理机构已对竞价文件中所述的免责条款、竞价程序方式、标的特别说明作了明确的告知与声明；竞价人须特别对本次竞价标的、标的瑕疵、免责条款、竞价方式、竞价人义务以及与竞价相关的法律后果等做深入了解，且对竞价文件中的各项条款理解无误后才参与竞价。一旦竞价人完成网上报名，则视为认同竞价文件所规定的各项条款、内容解释及竞价方式等，并接受竞价文件的约束，承担全部责任和义务。竞价成交后买受人须对代理机构存档的纸质竞价文件资料补签字或盖章。</w:t>
      </w:r>
    </w:p>
    <w:p w14:paraId="3F1F4B97">
      <w:pPr>
        <w:adjustRightInd w:val="0"/>
        <w:snapToGrid w:val="0"/>
        <w:ind w:firstLine="482" w:firstLineChars="200"/>
        <w:rPr>
          <w:rFonts w:ascii="仿宋_GB2312" w:eastAsia="仿宋_GB2312"/>
          <w:color w:val="000000"/>
          <w:sz w:val="24"/>
        </w:rPr>
      </w:pPr>
      <w:r>
        <w:rPr>
          <w:rFonts w:hint="eastAsia" w:ascii="仿宋_GB2312" w:eastAsia="仿宋_GB2312"/>
          <w:b/>
          <w:bCs/>
          <w:color w:val="000000"/>
          <w:sz w:val="24"/>
        </w:rPr>
        <w:t>十五、特别说明：</w:t>
      </w:r>
    </w:p>
    <w:p w14:paraId="225A7F10">
      <w:pPr>
        <w:adjustRightInd w:val="0"/>
        <w:snapToGrid w:val="0"/>
        <w:ind w:firstLine="480" w:firstLineChars="200"/>
        <w:rPr>
          <w:rFonts w:ascii="仿宋_GB2312" w:eastAsia="仿宋_GB2312"/>
          <w:color w:val="000000"/>
          <w:sz w:val="24"/>
        </w:rPr>
      </w:pPr>
      <w:r>
        <w:rPr>
          <w:rFonts w:ascii="仿宋_GB2312" w:eastAsia="仿宋_GB2312"/>
          <w:color w:val="000000"/>
          <w:sz w:val="24"/>
        </w:rPr>
        <w:t>1</w:t>
      </w:r>
      <w:r>
        <w:rPr>
          <w:rFonts w:hint="eastAsia" w:ascii="仿宋_GB2312" w:eastAsia="仿宋_GB2312"/>
          <w:color w:val="000000"/>
          <w:sz w:val="24"/>
        </w:rPr>
        <w:t>、本次竞价是依法经公告程序，并以标的目前所处的实际现状进行竞租，提供的信息资料（包括照片或视频内容等）仅供核对现场参考使用。标的的新旧程度、结构状况、环境位置、品质状况、缺陷情况、面积数据等均以移交时的现状为准，为带瑕疵的竞价；委托人及竞价人对标的的外观、品质问题、结构设施缺损、面积差异、固定装修损毁等不作保证，由买受人自行承担相关责任，由此产生的问题也不影响竞价成交价款及成交关系。竞价成交后，买受人不得以此作为解除竞价成交关系，迟延或者拒绝支付竞价成交款之理由。故，竞价人应在展示期间对标的物进行实地勘查，对相关事项进行详细调查与了解。</w:t>
      </w:r>
    </w:p>
    <w:p w14:paraId="14517518">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2、承租人须按照《房屋租赁用途承诺书》确定的经营范围经营，否则委托方有权终止租赁合同。</w:t>
      </w:r>
    </w:p>
    <w:p w14:paraId="4555623B">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3、本次竞价的标的实际使用面积应以移交时的现状为准。对此可能产生的影响请竞价人引起注意，必要时自行向相关部门了解详情。</w:t>
      </w:r>
    </w:p>
    <w:p w14:paraId="3EC6B48B">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4、未经委托人书面同意，承租人不得将成交标的转租他人。</w:t>
      </w:r>
    </w:p>
    <w:p w14:paraId="09BCECCD">
      <w:pPr>
        <w:adjustRightInd w:val="0"/>
        <w:snapToGrid w:val="0"/>
        <w:ind w:firstLine="480" w:firstLineChars="200"/>
        <w:rPr>
          <w:rFonts w:ascii="仿宋_GB2312" w:eastAsia="仿宋_GB2312"/>
          <w:color w:val="000000"/>
          <w:sz w:val="24"/>
        </w:rPr>
      </w:pPr>
      <w:r>
        <w:rPr>
          <w:rFonts w:ascii="仿宋_GB2312" w:eastAsia="仿宋_GB2312"/>
          <w:color w:val="000000"/>
          <w:sz w:val="24"/>
        </w:rPr>
        <w:t>5</w:t>
      </w:r>
      <w:r>
        <w:rPr>
          <w:rFonts w:hint="eastAsia" w:ascii="仿宋_GB2312" w:eastAsia="仿宋_GB2312"/>
          <w:color w:val="000000"/>
          <w:sz w:val="24"/>
        </w:rPr>
        <w:t>、本次标的成交价为第一年租金金额，租金为一年一付（提前一个月支付），先付后用。</w:t>
      </w:r>
      <w:r>
        <w:rPr>
          <w:rFonts w:hint="eastAsia" w:ascii="仿宋_GB2312" w:eastAsia="仿宋_GB2312"/>
          <w:color w:val="000000"/>
          <w:sz w:val="24"/>
          <w:lang w:val="zh-CN"/>
        </w:rPr>
        <w:t>标的租赁用途符合《绍兴古城保护利用条例》第37条业态（不含餐饮）的，年租金不递增；经营餐饮等对排污安全、卫生影响较大业态，租金按每年5%递增。</w:t>
      </w:r>
    </w:p>
    <w:p w14:paraId="51C70DC8">
      <w:pPr>
        <w:adjustRightInd w:val="0"/>
        <w:snapToGrid w:val="0"/>
        <w:ind w:firstLine="480" w:firstLineChars="200"/>
        <w:rPr>
          <w:rFonts w:ascii="仿宋_GB2312" w:eastAsia="仿宋_GB2312"/>
          <w:color w:val="000000"/>
          <w:sz w:val="24"/>
        </w:rPr>
      </w:pPr>
      <w:r>
        <w:rPr>
          <w:rFonts w:ascii="仿宋_GB2312" w:eastAsia="仿宋_GB2312"/>
          <w:color w:val="000000"/>
          <w:sz w:val="24"/>
        </w:rPr>
        <w:t>6</w:t>
      </w:r>
      <w:r>
        <w:rPr>
          <w:rFonts w:hint="eastAsia" w:ascii="仿宋_GB2312" w:eastAsia="仿宋_GB2312"/>
          <w:color w:val="000000"/>
          <w:sz w:val="24"/>
        </w:rPr>
        <w:t>、本次竞价佣金为年租金的5%，由买受人在竞价成交后按约定另行支付于代理机构账户。</w:t>
      </w:r>
    </w:p>
    <w:p w14:paraId="6888B5BA">
      <w:pPr>
        <w:adjustRightInd w:val="0"/>
        <w:snapToGrid w:val="0"/>
        <w:ind w:firstLine="480" w:firstLineChars="200"/>
        <w:rPr>
          <w:rFonts w:ascii="仿宋_GB2312" w:eastAsia="仿宋_GB2312"/>
          <w:color w:val="000000"/>
          <w:sz w:val="24"/>
        </w:rPr>
      </w:pPr>
      <w:r>
        <w:rPr>
          <w:rFonts w:ascii="仿宋_GB2312" w:eastAsia="仿宋_GB2312"/>
          <w:color w:val="auto"/>
          <w:sz w:val="24"/>
        </w:rPr>
        <w:t>7</w:t>
      </w:r>
      <w:r>
        <w:rPr>
          <w:rFonts w:hint="eastAsia" w:ascii="仿宋_GB2312" w:eastAsia="仿宋_GB2312"/>
          <w:color w:val="auto"/>
          <w:sz w:val="24"/>
        </w:rPr>
        <w:t>、</w:t>
      </w:r>
      <w:bookmarkStart w:id="4" w:name="OLE_LINK1"/>
      <w:r>
        <w:rPr>
          <w:rFonts w:hint="eastAsia" w:ascii="仿宋_GB2312" w:eastAsia="仿宋_GB2312"/>
          <w:color w:val="auto"/>
          <w:sz w:val="24"/>
        </w:rPr>
        <w:t>实际标的移交使用时间和租期起始时间</w:t>
      </w:r>
      <w:r>
        <w:rPr>
          <w:rFonts w:hint="eastAsia" w:ascii="仿宋_GB2312" w:eastAsia="仿宋_GB2312"/>
          <w:color w:val="auto"/>
          <w:sz w:val="24"/>
          <w:lang w:eastAsia="zh-CN"/>
        </w:rPr>
        <w:t>，</w:t>
      </w:r>
      <w:r>
        <w:rPr>
          <w:rFonts w:hint="eastAsia" w:ascii="仿宋_GB2312" w:eastAsia="仿宋_GB2312"/>
          <w:color w:val="auto"/>
          <w:sz w:val="24"/>
          <w:lang w:val="en-US" w:eastAsia="zh-CN"/>
        </w:rPr>
        <w:t>以房屋</w:t>
      </w:r>
      <w:r>
        <w:rPr>
          <w:rFonts w:hint="eastAsia" w:ascii="仿宋_GB2312" w:eastAsia="仿宋_GB2312"/>
          <w:color w:val="auto"/>
          <w:sz w:val="24"/>
        </w:rPr>
        <w:t>租赁合同</w:t>
      </w:r>
      <w:r>
        <w:rPr>
          <w:rFonts w:hint="eastAsia" w:ascii="仿宋_GB2312" w:eastAsia="仿宋_GB2312"/>
          <w:color w:val="auto"/>
          <w:sz w:val="24"/>
          <w:lang w:val="en-US" w:eastAsia="zh-CN"/>
        </w:rPr>
        <w:t>签订时间为准</w:t>
      </w:r>
      <w:r>
        <w:rPr>
          <w:rFonts w:hint="eastAsia" w:ascii="仿宋_GB2312" w:eastAsia="仿宋_GB2312"/>
          <w:color w:val="auto"/>
          <w:sz w:val="24"/>
        </w:rPr>
        <w:t>。</w:t>
      </w:r>
      <w:bookmarkEnd w:id="4"/>
      <w:r>
        <w:rPr>
          <w:rFonts w:hint="eastAsia" w:ascii="仿宋_GB2312" w:eastAsia="仿宋_GB2312"/>
          <w:color w:val="000000"/>
          <w:sz w:val="24"/>
        </w:rPr>
        <w:t>买受人竞价成交并付清全部应付款，签订租赁合同等履行全部义务后即成为租赁合同之承租人，委托人按照合同约定的时间内将标的物移交买受人使用；若委托人因不可抗力或第三方原因致使延期交付的，委托人则有权另行书面通知相关买受人，买受人自收到委托人通知后合同租期即发生变更，合同租期相应顺延。</w:t>
      </w:r>
    </w:p>
    <w:p w14:paraId="2D5D7626">
      <w:pPr>
        <w:adjustRightInd w:val="0"/>
        <w:snapToGrid w:val="0"/>
        <w:ind w:firstLine="480" w:firstLineChars="200"/>
        <w:rPr>
          <w:rFonts w:ascii="仿宋_GB2312" w:eastAsia="仿宋_GB2312"/>
          <w:color w:val="000000"/>
          <w:sz w:val="24"/>
        </w:rPr>
      </w:pPr>
      <w:r>
        <w:rPr>
          <w:rFonts w:ascii="仿宋_GB2312" w:eastAsia="仿宋_GB2312"/>
          <w:color w:val="000000"/>
          <w:sz w:val="24"/>
        </w:rPr>
        <w:t>8</w:t>
      </w:r>
      <w:r>
        <w:rPr>
          <w:rFonts w:hint="eastAsia" w:ascii="仿宋_GB2312" w:eastAsia="仿宋_GB2312"/>
          <w:color w:val="000000"/>
          <w:sz w:val="24"/>
        </w:rPr>
        <w:t>、竞价人如需在竞价前查阅租赁合同之相关内容的，可自行下载《房屋租赁合同》（样本），并应仔细阅读合同条款，但最终合同版本以委托人与承租人签订内容为准。</w:t>
      </w:r>
    </w:p>
    <w:p w14:paraId="3C97EA98">
      <w:pPr>
        <w:adjustRightInd w:val="0"/>
        <w:snapToGrid w:val="0"/>
        <w:ind w:firstLine="480" w:firstLineChars="200"/>
        <w:rPr>
          <w:rFonts w:ascii="仿宋_GB2312" w:eastAsia="仿宋_GB2312"/>
          <w:color w:val="000000"/>
          <w:sz w:val="24"/>
        </w:rPr>
      </w:pPr>
      <w:r>
        <w:rPr>
          <w:rFonts w:ascii="仿宋_GB2312" w:eastAsia="仿宋_GB2312"/>
          <w:color w:val="000000"/>
          <w:sz w:val="24"/>
        </w:rPr>
        <w:t>9</w:t>
      </w:r>
      <w:r>
        <w:rPr>
          <w:rFonts w:hint="eastAsia" w:ascii="仿宋_GB2312" w:eastAsia="仿宋_GB2312"/>
          <w:color w:val="000000"/>
          <w:sz w:val="24"/>
        </w:rPr>
        <w:t>、本次竞价是经法定公告期和展示期后才举行的，就竞价标的物已知及可能存在的瑕疵或风险已在本次竞价资料中作了基本的介绍和说明，但竞价物仍有可能存在其他潜在的或隐含的瑕疵风险。由于标的自始并非代理机构掌控，代理机构所提供的竞价标的的相关资料介绍，主要来源于委托人提供的信息材料，同时代理机构可能对竞价标的历史情况、实际现状、未来风险提出了一些预测性、假设性、直观性的参考性意见说明文字及材料，并不能保证准确的以文字、材料描述标的物已知瑕疵状况，或准确预见隐含在标的内部潜在的瑕疵问题，无法完整揭示标的物隐含的投资风险，代理机构对竞价标的物所作的说明和提供的资料、视频、图片等，仅供竞价人参考，不构成对标的物的任何担保。所以务必请竞价人在竞价前必须仔细审查竞价标的物，调查是否存在各种瑕疵，认真研究查看所竞价标的物的实际现状，并请亲临展示现场，实地看样，未看样的竞价人视为对本标的实物现状的确认，慎重决定竞价行为，竞价人一旦作出竞价决定，即表明已完全了解，并接受标的物以实物现状移交和一切已知及未知的瑕疵。委托人及代理机构按照《竞价法》第六十一条声明不保竞价标的真伪或者品质等，且不承担本标的任何瑕疵担保责任（包括已知或隐含的瑕疵）。</w:t>
      </w:r>
    </w:p>
    <w:p w14:paraId="1DF4EE4A">
      <w:pPr>
        <w:adjustRightInd w:val="0"/>
        <w:snapToGrid w:val="0"/>
        <w:ind w:firstLine="480" w:firstLineChars="200"/>
        <w:rPr>
          <w:rFonts w:ascii="仿宋_GB2312" w:eastAsia="仿宋_GB2312"/>
          <w:color w:val="000000"/>
          <w:sz w:val="24"/>
        </w:rPr>
      </w:pPr>
      <w:r>
        <w:rPr>
          <w:rFonts w:ascii="仿宋_GB2312" w:eastAsia="仿宋_GB2312"/>
          <w:color w:val="000000"/>
          <w:sz w:val="24"/>
        </w:rPr>
        <w:t>10</w:t>
      </w:r>
      <w:r>
        <w:rPr>
          <w:rFonts w:hint="eastAsia" w:ascii="仿宋_GB2312" w:eastAsia="仿宋_GB2312"/>
          <w:color w:val="000000"/>
          <w:sz w:val="24"/>
        </w:rPr>
        <w:t>、竞价成交之前，因故中止或撤回竞价的，竞价人不得向代理机构提出任何赔偿要求。</w:t>
      </w:r>
    </w:p>
    <w:p w14:paraId="7D9A3788">
      <w:pPr>
        <w:adjustRightInd w:val="0"/>
        <w:snapToGrid w:val="0"/>
        <w:ind w:firstLine="482" w:firstLineChars="200"/>
        <w:rPr>
          <w:rFonts w:ascii="仿宋_GB2312" w:eastAsia="仿宋_GB2312"/>
          <w:b/>
          <w:bCs/>
          <w:color w:val="000000"/>
          <w:sz w:val="24"/>
        </w:rPr>
      </w:pPr>
      <w:r>
        <w:rPr>
          <w:rFonts w:hint="eastAsia" w:ascii="仿宋_GB2312" w:eastAsia="仿宋_GB2312"/>
          <w:b/>
          <w:bCs/>
          <w:color w:val="000000"/>
          <w:sz w:val="24"/>
        </w:rPr>
        <w:t>十六、其他事项：</w:t>
      </w:r>
    </w:p>
    <w:p w14:paraId="57CC0CA3">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1、本次竞价计价货币为人民币，竞价时的起租价、成交价均不包含标的权利登记或变更、标的物交付等所发生的相关税、费及竞价佣金等。</w:t>
      </w:r>
    </w:p>
    <w:p w14:paraId="197D1136">
      <w:pPr>
        <w:adjustRightInd w:val="0"/>
        <w:snapToGrid w:val="0"/>
        <w:ind w:firstLine="480" w:firstLineChars="200"/>
        <w:rPr>
          <w:rFonts w:ascii="仿宋_GB2312" w:eastAsia="仿宋_GB2312"/>
          <w:color w:val="000000"/>
          <w:sz w:val="24"/>
        </w:rPr>
      </w:pPr>
      <w:r>
        <w:rPr>
          <w:rFonts w:ascii="仿宋_GB2312" w:eastAsia="仿宋_GB2312"/>
          <w:color w:val="000000"/>
          <w:sz w:val="24"/>
        </w:rPr>
        <w:t>2</w:t>
      </w:r>
      <w:r>
        <w:rPr>
          <w:rFonts w:hint="eastAsia" w:ascii="仿宋_GB2312" w:eastAsia="仿宋_GB2312"/>
          <w:color w:val="000000"/>
          <w:sz w:val="24"/>
        </w:rPr>
        <w:t>、对买受人的通知或催告事宜，以其网络竞价实名登记信息地址邮寄，因拒收或其他原因无法送达而退回的，以邮局第一个邮戳所记载的日期视为送达日期，竞价人一旦报名参与竞价即视为接受上述通知方式。</w:t>
      </w:r>
    </w:p>
    <w:p w14:paraId="14783D65">
      <w:pPr>
        <w:adjustRightInd w:val="0"/>
        <w:snapToGrid w:val="0"/>
        <w:ind w:firstLine="482" w:firstLineChars="200"/>
        <w:rPr>
          <w:rFonts w:ascii="仿宋_GB2312" w:eastAsia="仿宋_GB2312"/>
          <w:color w:val="000000"/>
          <w:sz w:val="24"/>
        </w:rPr>
      </w:pPr>
      <w:r>
        <w:rPr>
          <w:rFonts w:hint="eastAsia" w:ascii="仿宋_GB2312" w:eastAsia="仿宋_GB2312"/>
          <w:b/>
          <w:bCs/>
          <w:color w:val="000000"/>
          <w:sz w:val="24"/>
        </w:rPr>
        <w:t>十七、联系电话：</w:t>
      </w:r>
      <w:r>
        <w:rPr>
          <w:rFonts w:hint="eastAsia" w:ascii="仿宋_GB2312" w:eastAsia="仿宋_GB2312"/>
          <w:color w:val="000000"/>
          <w:sz w:val="24"/>
        </w:rPr>
        <w:t xml:space="preserve">18957500011 （工作时间） </w:t>
      </w:r>
    </w:p>
    <w:p w14:paraId="5C4B0644">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联系时间：上午9:00-11:30  下午1:30-4:30</w:t>
      </w:r>
    </w:p>
    <w:p w14:paraId="32E9B349">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线上报名、缴纳竞价保证金操作问题，请咨询代理机构。</w:t>
      </w:r>
    </w:p>
    <w:p w14:paraId="1E4623FB">
      <w:pPr>
        <w:adjustRightInd w:val="0"/>
        <w:snapToGrid w:val="0"/>
        <w:ind w:firstLine="480" w:firstLineChars="200"/>
        <w:rPr>
          <w:rFonts w:ascii="仿宋_GB2312" w:eastAsia="仿宋_GB2312"/>
          <w:color w:val="000000"/>
          <w:sz w:val="24"/>
        </w:rPr>
      </w:pPr>
      <w:r>
        <w:rPr>
          <w:rFonts w:hint="eastAsia" w:ascii="仿宋_GB2312" w:eastAsia="仿宋_GB2312"/>
          <w:color w:val="000000"/>
          <w:sz w:val="24"/>
        </w:rPr>
        <w:t>本次竞价会，代理机构如有违反竞价程序，可向绍兴市越城区市场监督管理局举报，举报电话：0</w:t>
      </w:r>
      <w:r>
        <w:rPr>
          <w:rFonts w:ascii="仿宋_GB2312" w:eastAsia="仿宋_GB2312"/>
          <w:color w:val="000000"/>
          <w:sz w:val="24"/>
        </w:rPr>
        <w:t>575-</w:t>
      </w:r>
      <w:r>
        <w:rPr>
          <w:rFonts w:hint="eastAsia" w:ascii="仿宋_GB2312" w:eastAsia="仿宋_GB2312"/>
          <w:color w:val="000000"/>
          <w:sz w:val="24"/>
        </w:rPr>
        <w:t>85113924</w:t>
      </w:r>
    </w:p>
    <w:p w14:paraId="222A378E">
      <w:pPr>
        <w:snapToGrid w:val="0"/>
        <w:spacing w:line="600" w:lineRule="exact"/>
        <w:jc w:val="center"/>
        <w:rPr>
          <w:rFonts w:ascii="仿宋_GB2312" w:eastAsia="仿宋_GB2312"/>
          <w:b/>
          <w:color w:val="000000"/>
          <w:sz w:val="24"/>
        </w:rPr>
        <w:sectPr>
          <w:pgSz w:w="11906" w:h="16838"/>
          <w:pgMar w:top="964" w:right="1262" w:bottom="964" w:left="1404" w:header="851" w:footer="992" w:gutter="0"/>
          <w:cols w:space="720" w:num="1"/>
          <w:docGrid w:type="lines" w:linePitch="312" w:charSpace="0"/>
        </w:sectPr>
      </w:pPr>
    </w:p>
    <w:p w14:paraId="15EC903E">
      <w:pPr>
        <w:snapToGrid w:val="0"/>
        <w:spacing w:line="360" w:lineRule="exact"/>
        <w:jc w:val="center"/>
        <w:rPr>
          <w:rFonts w:ascii="仿宋_GB2312" w:eastAsia="仿宋_GB2312"/>
          <w:b/>
          <w:color w:val="000000"/>
          <w:sz w:val="32"/>
          <w:szCs w:val="32"/>
        </w:rPr>
      </w:pPr>
      <w:r>
        <w:rPr>
          <w:rFonts w:hint="eastAsia" w:ascii="仿宋_GB2312" w:eastAsia="仿宋_GB2312"/>
          <w:b/>
          <w:color w:val="000000"/>
          <w:sz w:val="32"/>
          <w:szCs w:val="32"/>
        </w:rPr>
        <w:t>第二部分</w:t>
      </w:r>
      <w:r>
        <w:rPr>
          <w:rFonts w:ascii="仿宋_GB2312" w:eastAsia="仿宋_GB2312"/>
          <w:b/>
          <w:color w:val="000000"/>
          <w:sz w:val="32"/>
          <w:szCs w:val="32"/>
        </w:rPr>
        <w:t xml:space="preserve">  </w:t>
      </w:r>
      <w:r>
        <w:rPr>
          <w:rFonts w:hint="eastAsia" w:ascii="仿宋_GB2312" w:eastAsia="仿宋_GB2312"/>
          <w:b/>
          <w:color w:val="000000"/>
          <w:sz w:val="32"/>
          <w:szCs w:val="32"/>
        </w:rPr>
        <w:t>竞价规则</w:t>
      </w:r>
    </w:p>
    <w:p w14:paraId="30B24AEE">
      <w:pPr>
        <w:adjustRightInd w:val="0"/>
        <w:snapToGrid w:val="0"/>
        <w:spacing w:line="360" w:lineRule="exact"/>
        <w:ind w:firstLine="480" w:firstLineChars="200"/>
        <w:rPr>
          <w:rFonts w:ascii="仿宋_GB2312" w:eastAsia="仿宋_GB2312"/>
          <w:color w:val="000000"/>
          <w:sz w:val="24"/>
        </w:rPr>
      </w:pPr>
    </w:p>
    <w:p w14:paraId="5BD4A5D4">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一、网络竞价方式：本次网络竞价在智慧越城产权交易平台上举行，竞价方式遵循“公开竞价、价高者得”原则。竞价号牌为竞价人通过系统报名并缴纳竞价保证金后系统自动生成的序列号。竞价人须按时参加网络竞价。</w:t>
      </w:r>
    </w:p>
    <w:p w14:paraId="02F6CB3A">
      <w:pPr>
        <w:adjustRightInd w:val="0"/>
        <w:snapToGrid w:val="0"/>
        <w:spacing w:line="360" w:lineRule="exact"/>
        <w:ind w:firstLine="480" w:firstLineChars="200"/>
        <w:rPr>
          <w:rFonts w:ascii="仿宋_GB2312" w:eastAsia="仿宋_GB2312"/>
          <w:b/>
          <w:bCs/>
          <w:color w:val="000000"/>
          <w:sz w:val="24"/>
        </w:rPr>
      </w:pPr>
      <w:r>
        <w:rPr>
          <w:rFonts w:hint="eastAsia" w:ascii="仿宋_GB2312" w:eastAsia="仿宋_GB2312"/>
          <w:color w:val="000000"/>
          <w:sz w:val="24"/>
        </w:rPr>
        <w:t>网络竞价分为自由竞价期和限时竞价期两个阶段。自由竞价为30分钟；限时竞价为5分钟，自由竞价结束后进入限时竞价，延时规则：进入限时竞价时间，若有其他竞价人出价，则结束时间系统将自动延时5分钟，且不断循环。</w:t>
      </w:r>
      <w:r>
        <w:rPr>
          <w:rFonts w:hint="eastAsia" w:ascii="仿宋_GB2312" w:eastAsia="仿宋_GB2312"/>
          <w:b/>
          <w:bCs/>
          <w:color w:val="000000"/>
          <w:sz w:val="24"/>
        </w:rPr>
        <w:t>本次竞价的所有时限均以竞价页面上显示的服务器时间为标准。</w:t>
      </w:r>
    </w:p>
    <w:p w14:paraId="3E49340A">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本次竞价为线上增价竞价方式。</w:t>
      </w:r>
      <w:r>
        <w:rPr>
          <w:rFonts w:ascii="仿宋_GB2312" w:eastAsia="仿宋_GB2312"/>
          <w:color w:val="000000"/>
          <w:sz w:val="24"/>
        </w:rPr>
        <w:t>具体</w:t>
      </w:r>
      <w:r>
        <w:rPr>
          <w:rFonts w:hint="eastAsia" w:ascii="仿宋_GB2312" w:eastAsia="仿宋_GB2312"/>
          <w:color w:val="000000"/>
          <w:sz w:val="24"/>
        </w:rPr>
        <w:t>步骤请竞买人报名登陆时详见新手指南</w:t>
      </w:r>
      <w:r>
        <w:rPr>
          <w:rFonts w:ascii="仿宋_GB2312" w:eastAsia="仿宋_GB2312"/>
          <w:color w:val="000000"/>
          <w:sz w:val="24"/>
        </w:rPr>
        <w:t>操作</w:t>
      </w:r>
      <w:r>
        <w:rPr>
          <w:rFonts w:hint="eastAsia" w:ascii="仿宋_GB2312" w:eastAsia="仿宋_GB2312"/>
          <w:color w:val="000000"/>
          <w:sz w:val="24"/>
        </w:rPr>
        <w:t>。竞买人也可以先进行模拟操作：</w:t>
      </w:r>
    </w:p>
    <w:p w14:paraId="468C8A94">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第1步：打开智慧越城产权交易平台（http://cqjy.sxyc.gov.cn/#/login/msg）；</w:t>
      </w:r>
    </w:p>
    <w:p w14:paraId="35C44426">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第2步：点击登录，输入客户自己注册的用户名、密码登录；</w:t>
      </w:r>
    </w:p>
    <w:p w14:paraId="79AB26D5">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第3步：点击“模拟竞价”；</w:t>
      </w:r>
    </w:p>
    <w:p w14:paraId="4D6F1B68">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第4步：选择专厅项目或普通项目（注：专厅项目为多个标的项目，普通项目为单个标的项目）；</w:t>
      </w:r>
    </w:p>
    <w:p w14:paraId="08C142F0">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第5步：选择“立即报名”；</w:t>
      </w:r>
    </w:p>
    <w:p w14:paraId="215D4FE7">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第6步：选择缴纳保证金；</w:t>
      </w:r>
    </w:p>
    <w:p w14:paraId="0ED07183">
      <w:pPr>
        <w:adjustRightInd w:val="0"/>
        <w:snapToGrid w:val="0"/>
        <w:spacing w:line="360" w:lineRule="exact"/>
        <w:ind w:firstLine="480" w:firstLineChars="200"/>
        <w:rPr>
          <w:rFonts w:ascii="仿宋_GB2312" w:eastAsia="仿宋_GB2312"/>
          <w:color w:val="000000"/>
          <w:sz w:val="24"/>
        </w:rPr>
      </w:pPr>
      <w:r>
        <w:rPr>
          <w:rFonts w:ascii="仿宋_GB2312" w:eastAsia="仿宋_GB2312"/>
          <w:color w:val="000000"/>
          <w:sz w:val="24"/>
        </w:rPr>
        <w:t>第</w:t>
      </w:r>
      <w:r>
        <w:rPr>
          <w:rFonts w:hint="eastAsia" w:ascii="仿宋_GB2312" w:eastAsia="仿宋_GB2312"/>
          <w:color w:val="000000"/>
          <w:sz w:val="24"/>
        </w:rPr>
        <w:t>7</w:t>
      </w:r>
      <w:r>
        <w:rPr>
          <w:rFonts w:ascii="仿宋_GB2312" w:eastAsia="仿宋_GB2312"/>
          <w:color w:val="000000"/>
          <w:sz w:val="24"/>
        </w:rPr>
        <w:t>步：</w:t>
      </w:r>
      <w:r>
        <w:rPr>
          <w:rFonts w:hint="eastAsia" w:ascii="仿宋_GB2312" w:eastAsia="仿宋_GB2312"/>
          <w:color w:val="000000"/>
          <w:sz w:val="24"/>
        </w:rPr>
        <w:t>选择进入报价；</w:t>
      </w:r>
    </w:p>
    <w:p w14:paraId="61E3399D">
      <w:pPr>
        <w:adjustRightInd w:val="0"/>
        <w:snapToGrid w:val="0"/>
        <w:spacing w:line="360" w:lineRule="exact"/>
        <w:ind w:firstLine="480" w:firstLineChars="200"/>
        <w:rPr>
          <w:rFonts w:ascii="仿宋_GB2312" w:eastAsia="仿宋_GB2312"/>
          <w:color w:val="000000"/>
          <w:sz w:val="24"/>
        </w:rPr>
      </w:pPr>
      <w:r>
        <w:rPr>
          <w:rFonts w:ascii="仿宋_GB2312" w:eastAsia="仿宋_GB2312"/>
          <w:color w:val="000000"/>
          <w:sz w:val="24"/>
        </w:rPr>
        <w:t>第</w:t>
      </w:r>
      <w:r>
        <w:rPr>
          <w:rFonts w:hint="eastAsia" w:ascii="仿宋_GB2312" w:eastAsia="仿宋_GB2312"/>
          <w:color w:val="000000"/>
          <w:sz w:val="24"/>
        </w:rPr>
        <w:t>8</w:t>
      </w:r>
      <w:r>
        <w:rPr>
          <w:rFonts w:ascii="仿宋_GB2312" w:eastAsia="仿宋_GB2312"/>
          <w:color w:val="000000"/>
          <w:sz w:val="24"/>
        </w:rPr>
        <w:t>步：</w:t>
      </w:r>
      <w:r>
        <w:rPr>
          <w:rFonts w:hint="eastAsia" w:ascii="仿宋_GB2312" w:eastAsia="仿宋_GB2312"/>
          <w:color w:val="000000"/>
          <w:sz w:val="24"/>
        </w:rPr>
        <w:t>开始竞价或报价（优先权人可以行使优先权）。</w:t>
      </w:r>
    </w:p>
    <w:p w14:paraId="5FF79097">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二、1、竞价中首次出价不低于起租价，之后竞价人间每次出价不能低于系统设定之加价幅度的整倍数，至竞价人的最高应价再无人继续加价时，以系统最终显示的最高应价者确认买受人。</w:t>
      </w:r>
    </w:p>
    <w:p w14:paraId="4A4FCBC3">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2、竞价若有优先购买权人竞价的，优先购买权人在同等条件下享有优先权，但优先购买权人应于竞价开始两个工作日前主动向代理机构咨询及核对系统上由委托人提供的已设置的该标的优先权人身份信息。优先权人线上报名使用的证件信息必须与本人系统注册相同的证件信息，且与委托人提供给代理机构的优先权人身份录入信息一致。请优先权人资格身份经核对无误后再报名参与竞价，否则，参与竞价时无法行使优先权的责任后果自负。</w:t>
      </w:r>
    </w:p>
    <w:p w14:paraId="1E805FA5">
      <w:pPr>
        <w:adjustRightInd w:val="0"/>
        <w:snapToGrid w:val="0"/>
        <w:spacing w:line="360" w:lineRule="exact"/>
        <w:ind w:firstLine="480" w:firstLineChars="200"/>
        <w:rPr>
          <w:rFonts w:ascii="仿宋_GB2312" w:eastAsia="仿宋_GB2312"/>
          <w:color w:val="000000"/>
          <w:sz w:val="24"/>
        </w:rPr>
      </w:pPr>
      <w:r>
        <w:rPr>
          <w:rFonts w:ascii="仿宋_GB2312" w:eastAsia="仿宋_GB2312"/>
          <w:color w:val="000000"/>
          <w:sz w:val="24"/>
        </w:rPr>
        <w:t>通过公共环境参与</w:t>
      </w:r>
      <w:r>
        <w:rPr>
          <w:rFonts w:hint="eastAsia" w:ascii="仿宋_GB2312" w:eastAsia="仿宋_GB2312"/>
          <w:color w:val="000000"/>
          <w:sz w:val="24"/>
        </w:rPr>
        <w:t>竞价</w:t>
      </w:r>
      <w:r>
        <w:rPr>
          <w:rFonts w:ascii="仿宋_GB2312" w:eastAsia="仿宋_GB2312"/>
          <w:color w:val="000000"/>
          <w:sz w:val="24"/>
        </w:rPr>
        <w:t>活动的竞</w:t>
      </w:r>
      <w:r>
        <w:rPr>
          <w:rFonts w:hint="eastAsia" w:ascii="仿宋_GB2312" w:eastAsia="仿宋_GB2312"/>
          <w:color w:val="000000"/>
          <w:sz w:val="24"/>
        </w:rPr>
        <w:t>价</w:t>
      </w:r>
      <w:r>
        <w:rPr>
          <w:rFonts w:ascii="仿宋_GB2312" w:eastAsia="仿宋_GB2312"/>
          <w:color w:val="000000"/>
          <w:sz w:val="24"/>
        </w:rPr>
        <w:t>人应注意</w:t>
      </w:r>
      <w:r>
        <w:rPr>
          <w:rFonts w:hint="eastAsia" w:ascii="仿宋_GB2312" w:eastAsia="仿宋_GB2312"/>
          <w:color w:val="000000"/>
          <w:sz w:val="24"/>
        </w:rPr>
        <w:t>账</w:t>
      </w:r>
      <w:r>
        <w:rPr>
          <w:rFonts w:ascii="仿宋_GB2312" w:eastAsia="仿宋_GB2312"/>
          <w:color w:val="000000"/>
          <w:sz w:val="24"/>
        </w:rPr>
        <w:t>号安全，离开终端时应及时退出竞价系统。</w:t>
      </w:r>
    </w:p>
    <w:p w14:paraId="0BB88A8A">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以上具体竞价规则以平台最近更新的竞价规则为准。网络存在各种风险，包括但不限于网络中断、系统错误、服务器宕机等，竞价人应时刻确保网络畅通。</w:t>
      </w:r>
    </w:p>
    <w:p w14:paraId="7DCECF08">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三、参加竞价的人应当遵守竞价须知的规定，不得阻挠其他竞价人竞价，不得操纵、垄断竞价价格，严禁竞价人恶意串标，上述行为一经发现，将撤销其买受资格，并追究相关的法律责任。</w:t>
      </w:r>
    </w:p>
    <w:p w14:paraId="767FB259">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四、因不可抗力或网络交易平台服务提供者因系统故障、病毒入侵、黑客攻击、数据错误中断等，对竞价人产生的损失与代理机构无涉。</w:t>
      </w:r>
    </w:p>
    <w:p w14:paraId="51EFF9AC">
      <w:pPr>
        <w:adjustRightInd w:val="0"/>
        <w:snapToGrid w:val="0"/>
        <w:spacing w:line="360" w:lineRule="exact"/>
        <w:ind w:firstLine="480" w:firstLineChars="200"/>
        <w:rPr>
          <w:rFonts w:ascii="仿宋_GB2312" w:eastAsia="仿宋_GB2312"/>
          <w:color w:val="000000"/>
          <w:sz w:val="24"/>
        </w:rPr>
      </w:pPr>
      <w:r>
        <w:rPr>
          <w:rFonts w:ascii="仿宋_GB2312" w:eastAsia="仿宋_GB2312"/>
          <w:color w:val="000000"/>
          <w:sz w:val="24"/>
        </w:rPr>
        <w:t>交易系统</w:t>
      </w:r>
      <w:r>
        <w:rPr>
          <w:rFonts w:hint="eastAsia" w:ascii="仿宋_GB2312" w:eastAsia="仿宋_GB2312"/>
          <w:color w:val="000000"/>
          <w:sz w:val="24"/>
        </w:rPr>
        <w:t>产权交易平台</w:t>
      </w:r>
      <w:r>
        <w:rPr>
          <w:rFonts w:ascii="仿宋_GB2312" w:eastAsia="仿宋_GB2312"/>
          <w:color w:val="000000"/>
          <w:sz w:val="24"/>
        </w:rPr>
        <w:t>由于下列原因出现不可及时修复的故障，造成网上交易暂时无法实现的，</w:t>
      </w:r>
      <w:r>
        <w:rPr>
          <w:rFonts w:hint="eastAsia" w:ascii="仿宋_GB2312" w:eastAsia="仿宋_GB2312"/>
          <w:color w:val="000000"/>
          <w:sz w:val="24"/>
        </w:rPr>
        <w:t>代理机构</w:t>
      </w:r>
      <w:r>
        <w:rPr>
          <w:rFonts w:ascii="仿宋_GB2312" w:eastAsia="仿宋_GB2312"/>
          <w:color w:val="000000"/>
          <w:sz w:val="24"/>
        </w:rPr>
        <w:t>发布公告，终止网上交易活动：</w:t>
      </w:r>
    </w:p>
    <w:p w14:paraId="54A8452D">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1.系统设备故障、软件故障、网络故障、电力故障等重大故障，导致系统无法正常运行的；</w:t>
      </w:r>
    </w:p>
    <w:p w14:paraId="0DC68E1E">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2.黑客入侵、病毒入侵等网络入侵、破坏等非可控因素，导致系统瘫痪的；</w:t>
      </w:r>
    </w:p>
    <w:p w14:paraId="37F13E88">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3.系统管理单位或出让人核实的其他原因。</w:t>
      </w:r>
    </w:p>
    <w:p w14:paraId="692B05C9">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五、网上竞价免责提示</w:t>
      </w:r>
    </w:p>
    <w:p w14:paraId="370B2118">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因不可抗力、意外事件、软硬件（技术）故障，非法入侵、恶意攻击等原因而导致竞价系统服务及网络异常、竞价中断或报价结果异常时，绍兴市公共资源交易中心越城区分中心将中止（暂停）竞价活动，具体情况在越城区</w:t>
      </w:r>
      <w:r>
        <w:rPr>
          <w:rFonts w:ascii="仿宋_GB2312" w:eastAsia="仿宋_GB2312"/>
          <w:color w:val="000000"/>
          <w:sz w:val="24"/>
        </w:rPr>
        <w:t>人民政府</w:t>
      </w:r>
      <w:r>
        <w:rPr>
          <w:rFonts w:hint="eastAsia" w:ascii="仿宋_GB2312" w:eastAsia="仿宋_GB2312"/>
          <w:color w:val="000000"/>
          <w:sz w:val="24"/>
        </w:rPr>
        <w:t>网予以公告，并会同</w:t>
      </w:r>
      <w:r>
        <w:rPr>
          <w:rFonts w:ascii="仿宋_GB2312" w:eastAsia="仿宋_GB2312"/>
          <w:color w:val="000000"/>
          <w:sz w:val="24"/>
        </w:rPr>
        <w:t>智慧越城产权交易平台管理系统开发维护单位</w:t>
      </w:r>
      <w:r>
        <w:rPr>
          <w:rFonts w:hint="eastAsia" w:ascii="仿宋_GB2312" w:eastAsia="仿宋_GB2312"/>
          <w:color w:val="000000"/>
          <w:sz w:val="24"/>
        </w:rPr>
        <w:t>和委托人及时采取补救措施，但不承担相关责任。</w:t>
      </w:r>
    </w:p>
    <w:p w14:paraId="2D77928E">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六、代理机构有权根据实际情况对网络公示竞价文件进行修正或补充，代理机构可在竞价开始前以线上变更调整竞价公告、竞价须知、附件等内容告知竞价人。凡竞价人应价，将被视为已经知悉并接受认可该修正或补充，故竞价人须在竞价出价当日再次查询线上竞价文件。本竞价须知及修正与补充均作为《成交确认书》的附件，具有法律效力。</w:t>
      </w:r>
    </w:p>
    <w:p w14:paraId="3F0B76B4">
      <w:pPr>
        <w:spacing w:line="360" w:lineRule="exact"/>
        <w:rPr>
          <w:rFonts w:ascii="仿宋_GB2312" w:eastAsia="仿宋_GB2312"/>
          <w:b/>
          <w:color w:val="000000"/>
          <w:sz w:val="30"/>
          <w:szCs w:val="30"/>
        </w:rPr>
      </w:pPr>
    </w:p>
    <w:p w14:paraId="04F2CC77">
      <w:pPr>
        <w:spacing w:line="360" w:lineRule="exact"/>
        <w:jc w:val="center"/>
        <w:rPr>
          <w:rFonts w:ascii="仿宋_GB2312" w:eastAsia="仿宋_GB2312"/>
          <w:b/>
          <w:color w:val="000000"/>
          <w:sz w:val="30"/>
          <w:szCs w:val="30"/>
        </w:rPr>
      </w:pPr>
    </w:p>
    <w:p w14:paraId="229C2BF8">
      <w:pPr>
        <w:spacing w:line="360" w:lineRule="exact"/>
        <w:rPr>
          <w:rFonts w:ascii="仿宋_GB2312" w:eastAsia="仿宋_GB2312"/>
          <w:color w:val="000000"/>
          <w:sz w:val="24"/>
        </w:rPr>
      </w:pPr>
    </w:p>
    <w:p w14:paraId="23FD0383">
      <w:pPr>
        <w:adjustRightInd w:val="0"/>
        <w:snapToGrid w:val="0"/>
        <w:spacing w:line="360" w:lineRule="exact"/>
        <w:ind w:firstLine="5040" w:firstLineChars="2100"/>
        <w:rPr>
          <w:rFonts w:ascii="仿宋_GB2312" w:eastAsia="仿宋_GB2312"/>
          <w:color w:val="000000"/>
          <w:sz w:val="24"/>
        </w:rPr>
      </w:pPr>
      <w:r>
        <w:rPr>
          <w:rFonts w:hint="eastAsia" w:ascii="仿宋_GB2312" w:eastAsia="仿宋_GB2312"/>
          <w:color w:val="000000"/>
          <w:sz w:val="24"/>
        </w:rPr>
        <w:t xml:space="preserve">绍兴市拍卖中心有限责任公司 </w:t>
      </w:r>
    </w:p>
    <w:p w14:paraId="430E781B">
      <w:pPr>
        <w:adjustRightInd w:val="0"/>
        <w:snapToGrid w:val="0"/>
        <w:spacing w:line="360" w:lineRule="exact"/>
        <w:ind w:firstLine="480" w:firstLineChars="200"/>
        <w:rPr>
          <w:rFonts w:ascii="仿宋_GB2312" w:eastAsia="仿宋_GB2312"/>
          <w:color w:val="000000"/>
          <w:sz w:val="24"/>
        </w:rPr>
      </w:pPr>
      <w:r>
        <w:rPr>
          <w:rFonts w:hint="eastAsia" w:ascii="仿宋_GB2312" w:eastAsia="仿宋_GB2312"/>
          <w:color w:val="000000"/>
          <w:sz w:val="24"/>
        </w:rPr>
        <w:t xml:space="preserve">                                            </w:t>
      </w:r>
      <w:r>
        <w:rPr>
          <w:rFonts w:hint="eastAsia" w:ascii="仿宋_GB2312" w:eastAsia="仿宋_GB2312"/>
          <w:color w:val="auto"/>
          <w:sz w:val="24"/>
        </w:rPr>
        <w:t>2025年8月</w:t>
      </w:r>
      <w:r>
        <w:rPr>
          <w:rFonts w:hint="eastAsia" w:ascii="仿宋_GB2312" w:eastAsia="仿宋_GB2312"/>
          <w:color w:val="auto"/>
          <w:sz w:val="24"/>
          <w:lang w:val="en-US" w:eastAsia="zh-CN"/>
        </w:rPr>
        <w:t>11</w:t>
      </w:r>
      <w:r>
        <w:rPr>
          <w:rFonts w:hint="eastAsia" w:ascii="仿宋_GB2312" w:eastAsia="仿宋_GB2312"/>
          <w:color w:val="auto"/>
          <w:sz w:val="24"/>
        </w:rPr>
        <w:t>日</w:t>
      </w:r>
      <w:r>
        <w:rPr>
          <w:rFonts w:hint="eastAsia" w:ascii="仿宋_GB2312" w:eastAsia="仿宋_GB2312"/>
          <w:color w:val="000000"/>
          <w:sz w:val="24"/>
        </w:rPr>
        <w:t xml:space="preserve"> </w:t>
      </w:r>
    </w:p>
    <w:p w14:paraId="2018926F">
      <w:pPr>
        <w:adjustRightInd w:val="0"/>
        <w:snapToGrid w:val="0"/>
        <w:spacing w:line="360" w:lineRule="exact"/>
        <w:ind w:firstLine="420" w:firstLineChars="200"/>
      </w:pPr>
    </w:p>
    <w:p w14:paraId="0E712EC1"/>
    <w:p w14:paraId="52A1FABE"/>
    <w:p w14:paraId="4EB2CEB1"/>
    <w:p w14:paraId="50394ECA"/>
    <w:p w14:paraId="210E2586"/>
    <w:p w14:paraId="01B5DC70"/>
    <w:p w14:paraId="3E9449AF"/>
    <w:p w14:paraId="728C4384"/>
    <w:p w14:paraId="32FEA0A5"/>
    <w:p w14:paraId="3F8FA1A4"/>
    <w:p w14:paraId="4D2930F0"/>
    <w:p w14:paraId="49CF8EC8"/>
    <w:p w14:paraId="6D59B80C"/>
    <w:p w14:paraId="4AF37458"/>
    <w:p w14:paraId="107B096A"/>
    <w:p w14:paraId="76D30D1F"/>
    <w:p w14:paraId="76BBC0DE"/>
    <w:p w14:paraId="5424DFDA"/>
    <w:p w14:paraId="656F8E5F">
      <w:pPr>
        <w:jc w:val="center"/>
        <w:rPr>
          <w:rFonts w:ascii="宋体" w:hAnsi="宋体"/>
          <w:b/>
          <w:bCs/>
          <w:sz w:val="44"/>
        </w:rPr>
      </w:pPr>
      <w:bookmarkStart w:id="5" w:name="OLE_LINK10"/>
      <w:r>
        <w:rPr>
          <w:rFonts w:hint="eastAsia" w:ascii="宋体" w:hAnsi="宋体"/>
          <w:b/>
          <w:bCs/>
          <w:sz w:val="44"/>
          <w:szCs w:val="44"/>
        </w:rPr>
        <w:t>竞价清单</w:t>
      </w:r>
    </w:p>
    <w:p w14:paraId="3D96E4F9">
      <w:pPr>
        <w:widowControl/>
        <w:spacing w:line="360" w:lineRule="auto"/>
        <w:jc w:val="center"/>
        <w:rPr>
          <w:rFonts w:ascii="宋体" w:hAnsi="宋体"/>
          <w:b/>
          <w:bCs/>
          <w:sz w:val="18"/>
          <w:szCs w:val="18"/>
        </w:rPr>
      </w:pPr>
      <w:r>
        <w:rPr>
          <w:rFonts w:hint="eastAsia" w:ascii="宋体" w:hAnsi="宋体"/>
          <w:b/>
          <w:bCs/>
          <w:sz w:val="18"/>
          <w:szCs w:val="18"/>
        </w:rPr>
        <w:t xml:space="preserve">  </w:t>
      </w:r>
      <w:r>
        <w:rPr>
          <w:rFonts w:hint="eastAsia" w:ascii="宋体" w:hAnsi="宋体"/>
          <w:b/>
          <w:bCs/>
          <w:sz w:val="24"/>
        </w:rPr>
        <w:t>（仅供参考，以现场展示为准）</w:t>
      </w:r>
    </w:p>
    <w:tbl>
      <w:tblPr>
        <w:tblStyle w:val="6"/>
        <w:tblpPr w:leftFromText="180" w:rightFromText="180" w:vertAnchor="text" w:horzAnchor="page" w:tblpXSpec="center" w:tblpY="279"/>
        <w:tblOverlap w:val="never"/>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3"/>
        <w:gridCol w:w="1936"/>
        <w:gridCol w:w="1905"/>
        <w:gridCol w:w="1380"/>
        <w:gridCol w:w="1110"/>
        <w:gridCol w:w="1084"/>
      </w:tblGrid>
      <w:tr w14:paraId="0406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43" w:type="dxa"/>
            <w:tcBorders>
              <w:top w:val="single" w:color="auto" w:sz="4" w:space="0"/>
              <w:left w:val="single" w:color="auto" w:sz="4" w:space="0"/>
              <w:bottom w:val="single" w:color="auto" w:sz="4" w:space="0"/>
              <w:right w:val="single" w:color="auto" w:sz="4" w:space="0"/>
            </w:tcBorders>
            <w:vAlign w:val="center"/>
          </w:tcPr>
          <w:p w14:paraId="52FED89B">
            <w:pPr>
              <w:widowControl/>
              <w:spacing w:line="400" w:lineRule="exact"/>
              <w:ind w:right="10"/>
              <w:jc w:val="center"/>
              <w:rPr>
                <w:rFonts w:ascii="仿宋" w:hAnsi="仿宋" w:eastAsia="仿宋" w:cs="Arial"/>
                <w:b/>
                <w:bCs/>
                <w:color w:val="000000"/>
                <w:sz w:val="24"/>
                <w:szCs w:val="21"/>
              </w:rPr>
            </w:pPr>
            <w:r>
              <w:rPr>
                <w:rFonts w:hint="eastAsia" w:ascii="仿宋" w:hAnsi="仿宋" w:eastAsia="仿宋" w:cs="Arial"/>
                <w:b/>
                <w:bCs/>
                <w:color w:val="000000"/>
                <w:sz w:val="24"/>
                <w:szCs w:val="21"/>
              </w:rPr>
              <w:t>序号</w:t>
            </w:r>
          </w:p>
        </w:tc>
        <w:tc>
          <w:tcPr>
            <w:tcW w:w="1936" w:type="dxa"/>
            <w:tcBorders>
              <w:top w:val="single" w:color="auto" w:sz="4" w:space="0"/>
              <w:left w:val="single" w:color="auto" w:sz="4" w:space="0"/>
              <w:bottom w:val="single" w:color="auto" w:sz="4" w:space="0"/>
              <w:right w:val="single" w:color="auto" w:sz="4" w:space="0"/>
            </w:tcBorders>
            <w:vAlign w:val="center"/>
          </w:tcPr>
          <w:p w14:paraId="0E796694">
            <w:pPr>
              <w:widowControl/>
              <w:spacing w:line="400" w:lineRule="exact"/>
              <w:ind w:right="48" w:rightChars="23"/>
              <w:jc w:val="center"/>
              <w:rPr>
                <w:rFonts w:ascii="仿宋" w:hAnsi="仿宋" w:eastAsia="仿宋" w:cs="Arial"/>
                <w:b/>
                <w:bCs/>
                <w:color w:val="000000"/>
                <w:sz w:val="24"/>
                <w:szCs w:val="21"/>
              </w:rPr>
            </w:pPr>
            <w:r>
              <w:rPr>
                <w:rFonts w:hint="eastAsia" w:ascii="仿宋" w:hAnsi="仿宋" w:eastAsia="仿宋" w:cs="Arial"/>
                <w:b/>
                <w:bCs/>
                <w:color w:val="000000"/>
                <w:sz w:val="24"/>
                <w:szCs w:val="21"/>
              </w:rPr>
              <w:t>竞价标的</w:t>
            </w:r>
          </w:p>
        </w:tc>
        <w:tc>
          <w:tcPr>
            <w:tcW w:w="1905" w:type="dxa"/>
            <w:tcBorders>
              <w:top w:val="single" w:color="auto" w:sz="4" w:space="0"/>
              <w:left w:val="single" w:color="auto" w:sz="4" w:space="0"/>
              <w:bottom w:val="single" w:color="auto" w:sz="4" w:space="0"/>
              <w:right w:val="single" w:color="auto" w:sz="4" w:space="0"/>
            </w:tcBorders>
            <w:vAlign w:val="center"/>
          </w:tcPr>
          <w:p w14:paraId="67356EF2">
            <w:pPr>
              <w:widowControl/>
              <w:spacing w:line="400" w:lineRule="exact"/>
              <w:ind w:right="48" w:rightChars="23"/>
              <w:jc w:val="center"/>
              <w:rPr>
                <w:rFonts w:ascii="仿宋" w:hAnsi="仿宋" w:eastAsia="仿宋" w:cs="Arial"/>
                <w:b/>
                <w:bCs/>
                <w:color w:val="auto"/>
                <w:sz w:val="24"/>
                <w:szCs w:val="21"/>
              </w:rPr>
            </w:pPr>
            <w:r>
              <w:rPr>
                <w:rFonts w:hint="eastAsia" w:ascii="仿宋" w:hAnsi="仿宋" w:eastAsia="仿宋" w:cs="Arial"/>
                <w:b/>
                <w:bCs/>
                <w:color w:val="auto"/>
                <w:sz w:val="24"/>
                <w:szCs w:val="21"/>
              </w:rPr>
              <w:t>租赁期</w:t>
            </w:r>
          </w:p>
        </w:tc>
        <w:tc>
          <w:tcPr>
            <w:tcW w:w="1380" w:type="dxa"/>
            <w:tcBorders>
              <w:top w:val="single" w:color="auto" w:sz="4" w:space="0"/>
              <w:left w:val="single" w:color="auto" w:sz="4" w:space="0"/>
              <w:bottom w:val="single" w:color="auto" w:sz="4" w:space="0"/>
              <w:right w:val="single" w:color="auto" w:sz="4" w:space="0"/>
            </w:tcBorders>
            <w:vAlign w:val="center"/>
          </w:tcPr>
          <w:p w14:paraId="0938DB8E">
            <w:pPr>
              <w:widowControl/>
              <w:spacing w:line="400" w:lineRule="exact"/>
              <w:jc w:val="center"/>
              <w:rPr>
                <w:rFonts w:ascii="仿宋" w:hAnsi="仿宋" w:eastAsia="仿宋" w:cs="Arial"/>
                <w:b/>
                <w:bCs/>
                <w:color w:val="000000"/>
                <w:sz w:val="24"/>
                <w:szCs w:val="21"/>
              </w:rPr>
            </w:pPr>
            <w:r>
              <w:rPr>
                <w:rFonts w:hint="eastAsia" w:ascii="仿宋" w:hAnsi="仿宋" w:eastAsia="仿宋" w:cs="Arial"/>
                <w:b/>
                <w:bCs/>
                <w:color w:val="000000"/>
                <w:sz w:val="24"/>
                <w:szCs w:val="21"/>
              </w:rPr>
              <w:t>面积 （</w:t>
            </w:r>
            <w:r>
              <w:rPr>
                <w:rFonts w:hint="eastAsia" w:ascii="仿宋" w:hAnsi="仿宋" w:eastAsia="仿宋"/>
                <w:sz w:val="24"/>
              </w:rPr>
              <w:t xml:space="preserve"> M</w:t>
            </w:r>
            <w:r>
              <w:rPr>
                <w:rFonts w:hint="eastAsia" w:ascii="仿宋" w:hAnsi="仿宋" w:eastAsia="仿宋"/>
                <w:sz w:val="24"/>
                <w:vertAlign w:val="superscript"/>
              </w:rPr>
              <w:t>2</w:t>
            </w:r>
            <w:r>
              <w:rPr>
                <w:rFonts w:hint="eastAsia" w:ascii="仿宋" w:hAnsi="仿宋" w:eastAsia="仿宋" w:cs="Arial"/>
                <w:b/>
                <w:bCs/>
                <w:color w:val="000000"/>
                <w:sz w:val="24"/>
                <w:szCs w:val="21"/>
              </w:rPr>
              <w:t>）</w:t>
            </w:r>
          </w:p>
        </w:tc>
        <w:tc>
          <w:tcPr>
            <w:tcW w:w="1110" w:type="dxa"/>
            <w:tcBorders>
              <w:top w:val="single" w:color="auto" w:sz="4" w:space="0"/>
              <w:left w:val="single" w:color="auto" w:sz="4" w:space="0"/>
              <w:bottom w:val="single" w:color="auto" w:sz="4" w:space="0"/>
              <w:right w:val="single" w:color="auto" w:sz="4" w:space="0"/>
            </w:tcBorders>
            <w:vAlign w:val="center"/>
          </w:tcPr>
          <w:p w14:paraId="1FA0D61F">
            <w:pPr>
              <w:widowControl/>
              <w:spacing w:line="400" w:lineRule="exact"/>
              <w:jc w:val="center"/>
              <w:rPr>
                <w:rFonts w:ascii="仿宋" w:hAnsi="仿宋" w:eastAsia="仿宋" w:cs="Arial"/>
                <w:b/>
                <w:bCs/>
                <w:color w:val="000000"/>
                <w:sz w:val="24"/>
                <w:szCs w:val="21"/>
              </w:rPr>
            </w:pPr>
            <w:r>
              <w:rPr>
                <w:rFonts w:hint="eastAsia" w:ascii="仿宋" w:hAnsi="仿宋" w:eastAsia="仿宋" w:cs="Arial"/>
                <w:b/>
                <w:bCs/>
                <w:color w:val="000000"/>
                <w:sz w:val="24"/>
                <w:szCs w:val="21"/>
              </w:rPr>
              <w:t>保证金</w:t>
            </w:r>
          </w:p>
          <w:p w14:paraId="320D59D6">
            <w:pPr>
              <w:widowControl/>
              <w:spacing w:line="400" w:lineRule="exact"/>
              <w:jc w:val="center"/>
              <w:rPr>
                <w:rFonts w:ascii="仿宋" w:hAnsi="仿宋" w:eastAsia="仿宋" w:cs="Arial"/>
                <w:b/>
                <w:bCs/>
                <w:color w:val="000000"/>
                <w:sz w:val="24"/>
                <w:szCs w:val="21"/>
              </w:rPr>
            </w:pPr>
            <w:r>
              <w:rPr>
                <w:rFonts w:hint="eastAsia" w:ascii="仿宋" w:hAnsi="仿宋" w:eastAsia="仿宋" w:cs="Arial"/>
                <w:b/>
                <w:bCs/>
                <w:color w:val="000000"/>
                <w:sz w:val="24"/>
                <w:szCs w:val="21"/>
              </w:rPr>
              <w:t>（万元）</w:t>
            </w:r>
          </w:p>
        </w:tc>
        <w:tc>
          <w:tcPr>
            <w:tcW w:w="1084" w:type="dxa"/>
            <w:tcBorders>
              <w:top w:val="single" w:color="auto" w:sz="4" w:space="0"/>
              <w:left w:val="single" w:color="auto" w:sz="4" w:space="0"/>
              <w:bottom w:val="single" w:color="auto" w:sz="4" w:space="0"/>
              <w:right w:val="single" w:color="auto" w:sz="4" w:space="0"/>
            </w:tcBorders>
          </w:tcPr>
          <w:p w14:paraId="5371A365">
            <w:pPr>
              <w:widowControl/>
              <w:spacing w:line="400" w:lineRule="exact"/>
              <w:jc w:val="center"/>
              <w:rPr>
                <w:rFonts w:ascii="仿宋" w:hAnsi="仿宋" w:eastAsia="仿宋" w:cs="Arial"/>
                <w:b/>
                <w:bCs/>
                <w:color w:val="000000"/>
                <w:sz w:val="24"/>
                <w:szCs w:val="21"/>
              </w:rPr>
            </w:pPr>
            <w:r>
              <w:rPr>
                <w:rFonts w:hint="eastAsia" w:ascii="仿宋" w:hAnsi="仿宋" w:eastAsia="仿宋" w:cs="Arial"/>
                <w:b/>
                <w:bCs/>
                <w:color w:val="000000"/>
                <w:sz w:val="24"/>
                <w:szCs w:val="21"/>
              </w:rPr>
              <w:t>起拍价</w:t>
            </w:r>
          </w:p>
          <w:p w14:paraId="6C90B20F">
            <w:pPr>
              <w:widowControl/>
              <w:spacing w:line="400" w:lineRule="exact"/>
              <w:rPr>
                <w:rFonts w:ascii="仿宋" w:hAnsi="仿宋" w:eastAsia="仿宋" w:cs="Arial"/>
                <w:b/>
                <w:bCs/>
                <w:color w:val="000000"/>
                <w:sz w:val="24"/>
                <w:szCs w:val="21"/>
              </w:rPr>
            </w:pPr>
            <w:r>
              <w:rPr>
                <w:rFonts w:hint="eastAsia" w:ascii="仿宋" w:hAnsi="仿宋" w:eastAsia="仿宋" w:cs="Arial"/>
                <w:b/>
                <w:bCs/>
                <w:color w:val="000000"/>
                <w:sz w:val="24"/>
                <w:szCs w:val="21"/>
              </w:rPr>
              <w:t>（万元）</w:t>
            </w:r>
          </w:p>
        </w:tc>
      </w:tr>
      <w:tr w14:paraId="5CACE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43" w:type="dxa"/>
            <w:tcBorders>
              <w:top w:val="single" w:color="auto" w:sz="4" w:space="0"/>
              <w:left w:val="single" w:color="auto" w:sz="4" w:space="0"/>
              <w:bottom w:val="single" w:color="auto" w:sz="4" w:space="0"/>
              <w:right w:val="single" w:color="auto" w:sz="4" w:space="0"/>
            </w:tcBorders>
            <w:vAlign w:val="center"/>
          </w:tcPr>
          <w:p w14:paraId="0ED50331">
            <w:pPr>
              <w:widowControl/>
              <w:spacing w:line="400" w:lineRule="exact"/>
              <w:ind w:right="10"/>
              <w:jc w:val="center"/>
              <w:rPr>
                <w:rFonts w:ascii="仿宋" w:hAnsi="仿宋" w:eastAsia="仿宋" w:cs="Arial"/>
                <w:color w:val="000000"/>
                <w:szCs w:val="18"/>
              </w:rPr>
            </w:pPr>
            <w:r>
              <w:rPr>
                <w:rFonts w:hint="eastAsia" w:ascii="仿宋" w:hAnsi="仿宋" w:eastAsia="仿宋" w:cs="Arial"/>
                <w:color w:val="000000"/>
                <w:sz w:val="24"/>
              </w:rPr>
              <w:t>1</w:t>
            </w:r>
          </w:p>
        </w:tc>
        <w:tc>
          <w:tcPr>
            <w:tcW w:w="1936" w:type="dxa"/>
            <w:tcBorders>
              <w:top w:val="single" w:color="auto" w:sz="4" w:space="0"/>
              <w:left w:val="single" w:color="auto" w:sz="4" w:space="0"/>
              <w:bottom w:val="single" w:color="auto" w:sz="4" w:space="0"/>
              <w:right w:val="single" w:color="auto" w:sz="4" w:space="0"/>
            </w:tcBorders>
            <w:vAlign w:val="center"/>
          </w:tcPr>
          <w:p w14:paraId="1BEEA1D6">
            <w:pPr>
              <w:widowControl/>
              <w:spacing w:line="400" w:lineRule="exact"/>
              <w:ind w:right="48" w:rightChars="23"/>
              <w:jc w:val="center"/>
              <w:rPr>
                <w:rFonts w:ascii="仿宋" w:hAnsi="仿宋" w:eastAsia="仿宋" w:cs="Arial"/>
                <w:b/>
                <w:bCs/>
                <w:color w:val="000000"/>
                <w:sz w:val="24"/>
                <w:szCs w:val="21"/>
              </w:rPr>
            </w:pPr>
            <w:r>
              <w:rPr>
                <w:rFonts w:hint="eastAsia" w:ascii="仿宋" w:hAnsi="仿宋" w:eastAsia="仿宋" w:cs="Arial"/>
                <w:b/>
                <w:bCs/>
                <w:color w:val="000000"/>
                <w:sz w:val="24"/>
                <w:szCs w:val="21"/>
              </w:rPr>
              <w:t>绍兴市越城区仓桥直街194号房产租赁权</w:t>
            </w:r>
          </w:p>
        </w:tc>
        <w:tc>
          <w:tcPr>
            <w:tcW w:w="1905" w:type="dxa"/>
            <w:tcBorders>
              <w:top w:val="single" w:color="auto" w:sz="4" w:space="0"/>
              <w:left w:val="single" w:color="auto" w:sz="4" w:space="0"/>
              <w:bottom w:val="single" w:color="auto" w:sz="4" w:space="0"/>
              <w:right w:val="single" w:color="auto" w:sz="4" w:space="0"/>
            </w:tcBorders>
            <w:vAlign w:val="center"/>
          </w:tcPr>
          <w:p w14:paraId="42111D65">
            <w:pPr>
              <w:widowControl/>
              <w:spacing w:line="400" w:lineRule="exact"/>
              <w:ind w:right="48" w:rightChars="23"/>
              <w:jc w:val="center"/>
              <w:rPr>
                <w:rFonts w:ascii="仿宋" w:hAnsi="仿宋" w:eastAsia="仿宋" w:cs="Arial"/>
                <w:b/>
                <w:bCs/>
                <w:color w:val="auto"/>
                <w:sz w:val="24"/>
                <w:szCs w:val="21"/>
              </w:rPr>
            </w:pPr>
            <w:r>
              <w:rPr>
                <w:rFonts w:ascii="仿宋" w:hAnsi="仿宋" w:eastAsia="仿宋" w:cs="Arial"/>
                <w:b/>
                <w:bCs/>
                <w:color w:val="auto"/>
                <w:sz w:val="24"/>
                <w:szCs w:val="21"/>
              </w:rPr>
              <w:t>竞拍成功后</w:t>
            </w:r>
          </w:p>
          <w:p w14:paraId="55201317">
            <w:pPr>
              <w:widowControl/>
              <w:spacing w:line="400" w:lineRule="exact"/>
              <w:ind w:right="48" w:rightChars="23"/>
              <w:jc w:val="center"/>
              <w:rPr>
                <w:rFonts w:hint="eastAsia" w:ascii="仿宋" w:hAnsi="仿宋" w:eastAsia="仿宋" w:cs="Arial"/>
                <w:b/>
                <w:bCs/>
                <w:color w:val="auto"/>
                <w:sz w:val="24"/>
                <w:szCs w:val="21"/>
                <w:lang w:val="en-US" w:eastAsia="zh-CN"/>
              </w:rPr>
            </w:pPr>
            <w:r>
              <w:rPr>
                <w:rFonts w:ascii="仿宋" w:hAnsi="仿宋" w:eastAsia="仿宋" w:cs="Arial"/>
                <w:b/>
                <w:bCs/>
                <w:color w:val="auto"/>
                <w:sz w:val="24"/>
                <w:szCs w:val="21"/>
              </w:rPr>
              <w:t>5日内</w:t>
            </w:r>
          </w:p>
        </w:tc>
        <w:tc>
          <w:tcPr>
            <w:tcW w:w="1380" w:type="dxa"/>
            <w:tcBorders>
              <w:top w:val="single" w:color="auto" w:sz="4" w:space="0"/>
              <w:left w:val="single" w:color="auto" w:sz="4" w:space="0"/>
              <w:bottom w:val="single" w:color="auto" w:sz="4" w:space="0"/>
              <w:right w:val="single" w:color="auto" w:sz="4" w:space="0"/>
            </w:tcBorders>
            <w:vAlign w:val="center"/>
          </w:tcPr>
          <w:p w14:paraId="0929CE65">
            <w:pPr>
              <w:widowControl/>
              <w:spacing w:line="400" w:lineRule="exact"/>
              <w:ind w:right="48" w:rightChars="23"/>
              <w:jc w:val="center"/>
              <w:rPr>
                <w:rFonts w:ascii="仿宋" w:hAnsi="仿宋" w:eastAsia="仿宋" w:cs="Arial"/>
                <w:b/>
                <w:bCs/>
                <w:color w:val="000000"/>
                <w:sz w:val="24"/>
                <w:szCs w:val="21"/>
              </w:rPr>
            </w:pPr>
            <w:r>
              <w:rPr>
                <w:rFonts w:hint="eastAsia" w:ascii="仿宋" w:hAnsi="仿宋" w:eastAsia="仿宋" w:cs="Arial"/>
                <w:b/>
                <w:bCs/>
                <w:color w:val="000000"/>
                <w:sz w:val="24"/>
                <w:szCs w:val="21"/>
                <w:lang w:val="zh-CN"/>
              </w:rPr>
              <w:t>约</w:t>
            </w:r>
            <w:r>
              <w:rPr>
                <w:rFonts w:hint="eastAsia" w:ascii="仿宋" w:hAnsi="仿宋" w:eastAsia="仿宋" w:cs="Arial"/>
                <w:b/>
                <w:bCs/>
                <w:color w:val="000000"/>
                <w:sz w:val="24"/>
                <w:szCs w:val="21"/>
              </w:rPr>
              <w:t>415.18</w:t>
            </w:r>
          </w:p>
        </w:tc>
        <w:tc>
          <w:tcPr>
            <w:tcW w:w="1110" w:type="dxa"/>
            <w:tcBorders>
              <w:top w:val="single" w:color="auto" w:sz="4" w:space="0"/>
              <w:left w:val="single" w:color="auto" w:sz="4" w:space="0"/>
              <w:bottom w:val="single" w:color="auto" w:sz="4" w:space="0"/>
              <w:right w:val="single" w:color="auto" w:sz="4" w:space="0"/>
            </w:tcBorders>
            <w:vAlign w:val="center"/>
          </w:tcPr>
          <w:p w14:paraId="59239043">
            <w:pPr>
              <w:widowControl/>
              <w:spacing w:line="400" w:lineRule="exact"/>
              <w:ind w:right="48" w:rightChars="23"/>
              <w:jc w:val="center"/>
              <w:rPr>
                <w:rFonts w:ascii="仿宋" w:hAnsi="仿宋" w:eastAsia="仿宋" w:cs="Arial"/>
                <w:b/>
                <w:bCs/>
                <w:color w:val="000000"/>
                <w:sz w:val="24"/>
                <w:szCs w:val="21"/>
              </w:rPr>
            </w:pPr>
            <w:r>
              <w:rPr>
                <w:rFonts w:hint="eastAsia" w:ascii="仿宋" w:hAnsi="仿宋" w:eastAsia="仿宋" w:cs="Arial"/>
                <w:b/>
                <w:bCs/>
                <w:color w:val="000000"/>
                <w:sz w:val="24"/>
                <w:szCs w:val="21"/>
              </w:rPr>
              <w:t>7.48</w:t>
            </w:r>
          </w:p>
        </w:tc>
        <w:tc>
          <w:tcPr>
            <w:tcW w:w="1084" w:type="dxa"/>
            <w:tcBorders>
              <w:top w:val="single" w:color="auto" w:sz="4" w:space="0"/>
              <w:left w:val="single" w:color="auto" w:sz="4" w:space="0"/>
              <w:bottom w:val="single" w:color="auto" w:sz="4" w:space="0"/>
              <w:right w:val="single" w:color="auto" w:sz="4" w:space="0"/>
            </w:tcBorders>
            <w:vAlign w:val="center"/>
          </w:tcPr>
          <w:p w14:paraId="43B05FD0">
            <w:pPr>
              <w:widowControl/>
              <w:spacing w:line="400" w:lineRule="exact"/>
              <w:ind w:right="48" w:rightChars="23"/>
              <w:jc w:val="center"/>
              <w:rPr>
                <w:rFonts w:ascii="仿宋" w:hAnsi="仿宋" w:eastAsia="仿宋" w:cs="Arial"/>
                <w:b/>
                <w:bCs/>
                <w:color w:val="000000"/>
                <w:sz w:val="24"/>
                <w:szCs w:val="21"/>
              </w:rPr>
            </w:pPr>
            <w:r>
              <w:rPr>
                <w:rFonts w:hint="eastAsia" w:ascii="仿宋" w:hAnsi="仿宋" w:eastAsia="仿宋" w:cs="Arial"/>
                <w:b/>
                <w:bCs/>
                <w:color w:val="000000"/>
                <w:sz w:val="24"/>
                <w:szCs w:val="21"/>
              </w:rPr>
              <w:t>37.4</w:t>
            </w:r>
          </w:p>
        </w:tc>
      </w:tr>
    </w:tbl>
    <w:p w14:paraId="2FFE52F5">
      <w:pPr>
        <w:spacing w:line="360" w:lineRule="auto"/>
        <w:rPr>
          <w:rFonts w:ascii="宋体" w:hAnsi="宋体" w:cs="宋体"/>
          <w:sz w:val="24"/>
          <w:lang w:val="zh-CN"/>
        </w:rPr>
      </w:pPr>
    </w:p>
    <w:p w14:paraId="58B85529">
      <w:pPr>
        <w:widowControl/>
        <w:spacing w:line="400" w:lineRule="exact"/>
        <w:ind w:right="48" w:rightChars="23"/>
        <w:jc w:val="left"/>
        <w:rPr>
          <w:rFonts w:ascii="仿宋" w:hAnsi="仿宋" w:eastAsia="仿宋" w:cs="Arial"/>
          <w:b/>
          <w:bCs/>
          <w:color w:val="000000"/>
          <w:sz w:val="24"/>
          <w:szCs w:val="21"/>
        </w:rPr>
      </w:pPr>
      <w:r>
        <w:rPr>
          <w:rFonts w:hint="eastAsia" w:ascii="仿宋" w:hAnsi="仿宋" w:eastAsia="仿宋" w:cs="Arial"/>
          <w:b/>
          <w:bCs/>
          <w:color w:val="000000"/>
          <w:sz w:val="24"/>
          <w:szCs w:val="21"/>
        </w:rPr>
        <w:t>备注</w:t>
      </w:r>
      <w:r>
        <w:rPr>
          <w:rFonts w:hint="eastAsia" w:ascii="仿宋" w:hAnsi="仿宋" w:eastAsia="仿宋" w:cs="Arial"/>
          <w:b/>
          <w:bCs/>
          <w:color w:val="000000"/>
          <w:sz w:val="24"/>
          <w:szCs w:val="21"/>
          <w:lang w:val="zh-CN"/>
        </w:rPr>
        <w:t>：标的的起拍价为第一年租金，租赁年限为</w:t>
      </w:r>
      <w:r>
        <w:rPr>
          <w:rFonts w:hint="eastAsia" w:ascii="仿宋" w:hAnsi="仿宋" w:eastAsia="仿宋" w:cs="Arial"/>
          <w:b/>
          <w:bCs/>
          <w:color w:val="000000"/>
          <w:sz w:val="24"/>
          <w:szCs w:val="21"/>
        </w:rPr>
        <w:t>3</w:t>
      </w:r>
      <w:r>
        <w:rPr>
          <w:rFonts w:hint="eastAsia" w:ascii="仿宋" w:hAnsi="仿宋" w:eastAsia="仿宋" w:cs="Arial"/>
          <w:b/>
          <w:bCs/>
          <w:color w:val="000000"/>
          <w:sz w:val="24"/>
          <w:szCs w:val="21"/>
          <w:lang w:val="zh-CN"/>
        </w:rPr>
        <w:t>年，合同一次性签订，租金按年支付，先付款后使用。标的租赁用途须符合《绍兴古城保护利用条例》相关规定，符合《绍兴古城保护利用条例》第37条业态（不含餐饮）的，年租金不递增；经营餐饮等对排污安全、卫生影响较大业态，租金按每年5%递增。</w:t>
      </w:r>
    </w:p>
    <w:p w14:paraId="0224FA0C">
      <w:pPr>
        <w:widowControl/>
        <w:spacing w:line="400" w:lineRule="exact"/>
        <w:ind w:right="48" w:rightChars="23"/>
        <w:jc w:val="center"/>
        <w:rPr>
          <w:rFonts w:ascii="仿宋" w:hAnsi="仿宋" w:eastAsia="仿宋" w:cs="Arial"/>
          <w:b/>
          <w:bCs/>
          <w:color w:val="000000"/>
          <w:sz w:val="24"/>
          <w:szCs w:val="21"/>
        </w:rPr>
      </w:pPr>
    </w:p>
    <w:p w14:paraId="7376C2B2">
      <w:pPr>
        <w:widowControl/>
        <w:spacing w:line="400" w:lineRule="exact"/>
        <w:ind w:right="48" w:rightChars="23"/>
        <w:jc w:val="center"/>
        <w:rPr>
          <w:rFonts w:ascii="仿宋" w:hAnsi="仿宋" w:eastAsia="仿宋" w:cs="Arial"/>
          <w:b/>
          <w:bCs/>
          <w:color w:val="000000"/>
          <w:sz w:val="24"/>
          <w:szCs w:val="21"/>
        </w:rPr>
      </w:pPr>
    </w:p>
    <w:p w14:paraId="2A73ED90">
      <w:pPr>
        <w:widowControl/>
        <w:spacing w:line="400" w:lineRule="exact"/>
        <w:ind w:right="48" w:rightChars="23"/>
        <w:jc w:val="center"/>
        <w:rPr>
          <w:rFonts w:ascii="仿宋" w:hAnsi="仿宋" w:eastAsia="仿宋" w:cs="Arial"/>
          <w:b/>
          <w:bCs/>
          <w:color w:val="000000"/>
          <w:sz w:val="24"/>
          <w:szCs w:val="21"/>
        </w:rPr>
      </w:pPr>
    </w:p>
    <w:p w14:paraId="5EF09398"/>
    <w:p w14:paraId="5EA7DDC1"/>
    <w:p w14:paraId="2C4EE93A"/>
    <w:bookmarkEnd w:id="5"/>
    <w:p w14:paraId="341C3F4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0BF9D1"/>
    <w:multiLevelType w:val="singleLevel"/>
    <w:tmpl w:val="370BF9D1"/>
    <w:lvl w:ilvl="0" w:tentative="0">
      <w:start w:val="1"/>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WExNzUwNDIxY2Q0NDNkZjNhYWI3ZDIyY2VkYzI0NjEifQ=="/>
  </w:docVars>
  <w:rsids>
    <w:rsidRoot w:val="617D1F24"/>
    <w:rsid w:val="00021336"/>
    <w:rsid w:val="001E251E"/>
    <w:rsid w:val="003C7D37"/>
    <w:rsid w:val="004446F7"/>
    <w:rsid w:val="00602E04"/>
    <w:rsid w:val="009D6100"/>
    <w:rsid w:val="00B859C1"/>
    <w:rsid w:val="00F2110F"/>
    <w:rsid w:val="01DF08A5"/>
    <w:rsid w:val="028805E0"/>
    <w:rsid w:val="0464525B"/>
    <w:rsid w:val="0B056E58"/>
    <w:rsid w:val="14564A3F"/>
    <w:rsid w:val="16A507F7"/>
    <w:rsid w:val="17E93649"/>
    <w:rsid w:val="1B342B35"/>
    <w:rsid w:val="1B781E6D"/>
    <w:rsid w:val="1D7F7181"/>
    <w:rsid w:val="1E2E3B49"/>
    <w:rsid w:val="1FEF7171"/>
    <w:rsid w:val="2BF93B2A"/>
    <w:rsid w:val="39E62997"/>
    <w:rsid w:val="3A7B3A28"/>
    <w:rsid w:val="3E6C0D2B"/>
    <w:rsid w:val="4B326E0E"/>
    <w:rsid w:val="4DC66910"/>
    <w:rsid w:val="523B5C99"/>
    <w:rsid w:val="600260B2"/>
    <w:rsid w:val="60AE1BB1"/>
    <w:rsid w:val="617D1F24"/>
    <w:rsid w:val="63C424B9"/>
    <w:rsid w:val="66E662D4"/>
    <w:rsid w:val="66EC51E2"/>
    <w:rsid w:val="76D6617F"/>
    <w:rsid w:val="77075171"/>
    <w:rsid w:val="7C143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9"/>
    <w:qFormat/>
    <w:uiPriority w:val="0"/>
    <w:pPr>
      <w:jc w:val="left"/>
    </w:pPr>
  </w:style>
  <w:style w:type="paragraph" w:styleId="3">
    <w:name w:val="Balloon Text"/>
    <w:basedOn w:val="1"/>
    <w:link w:val="11"/>
    <w:qFormat/>
    <w:uiPriority w:val="0"/>
    <w:rPr>
      <w:sz w:val="18"/>
      <w:szCs w:val="18"/>
    </w:rPr>
  </w:style>
  <w:style w:type="paragraph" w:styleId="4">
    <w:name w:val="Normal (Web)"/>
    <w:basedOn w:val="1"/>
    <w:qFormat/>
    <w:uiPriority w:val="99"/>
    <w:pPr>
      <w:spacing w:beforeAutospacing="1" w:afterAutospacing="1"/>
      <w:jc w:val="left"/>
    </w:pPr>
    <w:rPr>
      <w:rFonts w:ascii="Calibri" w:hAnsi="Calibri"/>
      <w:kern w:val="0"/>
      <w:sz w:val="24"/>
    </w:rPr>
  </w:style>
  <w:style w:type="paragraph" w:styleId="5">
    <w:name w:val="annotation subject"/>
    <w:basedOn w:val="2"/>
    <w:next w:val="2"/>
    <w:link w:val="10"/>
    <w:qFormat/>
    <w:uiPriority w:val="0"/>
    <w:rPr>
      <w:b/>
      <w:bCs/>
    </w:rPr>
  </w:style>
  <w:style w:type="character" w:styleId="8">
    <w:name w:val="annotation reference"/>
    <w:basedOn w:val="7"/>
    <w:qFormat/>
    <w:uiPriority w:val="0"/>
    <w:rPr>
      <w:sz w:val="21"/>
      <w:szCs w:val="21"/>
    </w:rPr>
  </w:style>
  <w:style w:type="character" w:customStyle="1" w:styleId="9">
    <w:name w:val="批注文字 Char"/>
    <w:basedOn w:val="7"/>
    <w:link w:val="2"/>
    <w:qFormat/>
    <w:uiPriority w:val="0"/>
    <w:rPr>
      <w:kern w:val="2"/>
      <w:sz w:val="21"/>
      <w:szCs w:val="24"/>
    </w:rPr>
  </w:style>
  <w:style w:type="character" w:customStyle="1" w:styleId="10">
    <w:name w:val="批注主题 Char"/>
    <w:basedOn w:val="9"/>
    <w:link w:val="5"/>
    <w:qFormat/>
    <w:uiPriority w:val="0"/>
    <w:rPr>
      <w:b/>
      <w:bCs/>
    </w:rPr>
  </w:style>
  <w:style w:type="character" w:customStyle="1" w:styleId="11">
    <w:name w:val="批注框文本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7726</Words>
  <Characters>7984</Characters>
  <Lines>58</Lines>
  <Paragraphs>16</Paragraphs>
  <TotalTime>27</TotalTime>
  <ScaleCrop>false</ScaleCrop>
  <LinksUpToDate>false</LinksUpToDate>
  <CharactersWithSpaces>8085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2025-03-11T03:32:00Z</dcterms:created>
  <dc:creator>xulu7610</dc:creator>
  <cp:lastModifiedBy>xulu7610</cp:lastModifiedBy>
  <cp:lastPrinted>2025-08-07T07:08:00Z</cp:lastPrinted>
  <dcterms:modified xsi:type="dcterms:W3CDTF">2025-08-11T03:26:58Z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0CD2EFD260DB4D54B4C2ACE1C4410376_11</vt:lpwstr>
  </property>
</Properties>
</file>